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240" w:before="240" w:line="276" w:lineRule="auto"/>
        <w:ind w:left="0" w:firstLine="0"/>
        <w:rPr>
          <w:rFonts w:ascii="Raleway ExtraBold" w:cs="Raleway ExtraBold" w:eastAsia="Raleway ExtraBold" w:hAnsi="Raleway ExtraBold"/>
          <w:color w:val="035068"/>
          <w:sz w:val="38"/>
          <w:szCs w:val="38"/>
        </w:rPr>
      </w:pPr>
      <w:bookmarkStart w:colFirst="0" w:colLast="0" w:name="_uiv1axxdyp02" w:id="0"/>
      <w:bookmarkEnd w:id="0"/>
      <w:r w:rsidDel="00000000" w:rsidR="00000000" w:rsidRPr="00000000">
        <w:rPr>
          <w:rFonts w:ascii="Raleway" w:cs="Raleway" w:eastAsia="Raleway" w:hAnsi="Raleway"/>
          <w:b w:val="1"/>
          <w:bCs w:val="1"/>
          <w:color w:val="035068"/>
          <w:sz w:val="38"/>
          <w:szCs w:val="38"/>
          <w:rtl w:val="0"/>
        </w:rPr>
        <w:t xml:space="preserve">Step 1: Assess and Step 2: Prioritize  (Version 2) Public Consultation Survey Questions</w:t>
      </w:r>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t xml:space="preserve">You may use this document to preview the public consultation survey questions and to align on responses amongst your team before formally submitting your response through the </w:t>
      </w:r>
      <w:hyperlink r:id="rId6">
        <w:r w:rsidDel="00000000" w:rsidR="00000000" w:rsidRPr="00000000">
          <w:rPr>
            <w:color w:val="1155cc"/>
            <w:u w:val="single"/>
            <w:rtl w:val="0"/>
          </w:rPr>
          <w:t xml:space="preserve">online form. </w:t>
        </w:r>
      </w:hyperlink>
      <w:r w:rsidDel="00000000" w:rsidR="00000000" w:rsidRPr="00000000">
        <w:rPr>
          <w:rtl w:val="0"/>
        </w:rPr>
      </w:r>
    </w:p>
    <w:p w:rsidR="00000000" w:rsidDel="00000000" w:rsidP="00000000" w:rsidRDefault="00000000" w:rsidRPr="00000000" w14:paraId="00000003">
      <w:pPr>
        <w:pStyle w:val="Heading2"/>
        <w:spacing w:after="240" w:before="240" w:line="240" w:lineRule="auto"/>
        <w:ind w:left="0" w:firstLine="0"/>
        <w:rPr>
          <w:rFonts w:ascii="Raleway ExtraBold" w:cs="Raleway ExtraBold" w:eastAsia="Raleway ExtraBold" w:hAnsi="Raleway ExtraBold"/>
          <w:color w:val="035068"/>
          <w:sz w:val="28"/>
          <w:szCs w:val="28"/>
        </w:rPr>
      </w:pPr>
      <w:bookmarkStart w:colFirst="0" w:colLast="0" w:name="_r6s67ucrtkoc" w:id="1"/>
      <w:bookmarkEnd w:id="1"/>
      <w:r w:rsidDel="00000000" w:rsidR="00000000" w:rsidRPr="00000000">
        <w:rPr>
          <w:rFonts w:ascii="Raleway ExtraBold" w:cs="Raleway ExtraBold" w:eastAsia="Raleway ExtraBold" w:hAnsi="Raleway ExtraBold"/>
          <w:color w:val="035068"/>
          <w:sz w:val="28"/>
          <w:szCs w:val="28"/>
          <w:rtl w:val="0"/>
        </w:rPr>
        <w:t xml:space="preserve">Introduction</w:t>
      </w:r>
    </w:p>
    <w:p w:rsidR="00000000" w:rsidDel="00000000" w:rsidP="00000000" w:rsidRDefault="00000000" w:rsidRPr="00000000" w14:paraId="00000004">
      <w:pPr>
        <w:spacing w:after="240" w:before="240" w:lineRule="auto"/>
        <w:ind w:left="0" w:firstLine="0"/>
        <w:rPr/>
      </w:pPr>
      <w:r w:rsidDel="00000000" w:rsidR="00000000" w:rsidRPr="00000000">
        <w:rPr>
          <w:rtl w:val="0"/>
        </w:rPr>
        <w:t xml:space="preserve">Dear Stakeholders,</w:t>
      </w:r>
    </w:p>
    <w:p w:rsidR="00000000" w:rsidDel="00000000" w:rsidP="00000000" w:rsidRDefault="00000000" w:rsidRPr="00000000" w14:paraId="00000005">
      <w:pPr>
        <w:spacing w:after="240" w:before="240" w:lineRule="auto"/>
        <w:ind w:left="0" w:firstLine="0"/>
        <w:rPr/>
      </w:pPr>
      <w:r w:rsidDel="00000000" w:rsidR="00000000" w:rsidRPr="00000000">
        <w:rPr>
          <w:rtl w:val="0"/>
        </w:rPr>
        <w:t xml:space="preserve">You are invited to join the public consultation on SBTN’s Version 2 Technical Guidance for Step 1: Assess and Step 2: Prioritize. This form is designed to gather your feedback and insights to inform potential updates to the guidance. </w:t>
      </w:r>
    </w:p>
    <w:p w:rsidR="00000000" w:rsidDel="00000000" w:rsidP="00000000" w:rsidRDefault="00000000" w:rsidRPr="00000000" w14:paraId="00000006">
      <w:pPr>
        <w:spacing w:after="240" w:before="240" w:lineRule="auto"/>
        <w:ind w:left="0" w:firstLine="0"/>
        <w:rPr/>
      </w:pPr>
      <w:r w:rsidDel="00000000" w:rsidR="00000000" w:rsidRPr="00000000">
        <w:rPr>
          <w:rtl w:val="0"/>
        </w:rPr>
        <w:t xml:space="preserve">We welcome contributions from all people and organizations who have an interest in helping to shape and improve SBTN's guidance. The consultation will remain open until April 17, 2026.</w:t>
      </w:r>
    </w:p>
    <w:p w:rsidR="00000000" w:rsidDel="00000000" w:rsidP="00000000" w:rsidRDefault="00000000" w:rsidRPr="00000000" w14:paraId="00000007">
      <w:pPr>
        <w:spacing w:after="240" w:before="240" w:lineRule="auto"/>
        <w:ind w:left="0" w:firstLine="0"/>
        <w:rPr/>
      </w:pPr>
      <w:r w:rsidDel="00000000" w:rsidR="00000000" w:rsidRPr="00000000">
        <w:rPr>
          <w:rtl w:val="0"/>
        </w:rPr>
        <w:t xml:space="preserve">What to expect from the survey</w:t>
      </w:r>
    </w:p>
    <w:p w:rsidR="00000000" w:rsidDel="00000000" w:rsidP="00000000" w:rsidRDefault="00000000" w:rsidRPr="00000000" w14:paraId="00000008">
      <w:pPr>
        <w:spacing w:after="240" w:before="240" w:lineRule="auto"/>
        <w:ind w:left="0" w:firstLine="0"/>
        <w:rPr/>
      </w:pPr>
      <w:r w:rsidDel="00000000" w:rsidR="00000000" w:rsidRPr="00000000">
        <w:rPr>
          <w:rtl w:val="0"/>
        </w:rPr>
        <w:t xml:space="preserve">The first section requests information about you and/or your organization to aid SBTN in analyzing the feedback. Please note that all submitted information and data will be treated with respect for your privacy in compliance with SBTN’s privacy policy and applicable laws and regulations. All information collected in this public consultation will be anonymized to protect each reviewer's identity. No names or other identifying information will be used when reporting data. SBTN greatly appreciates your time, expertise, and perspectives.</w:t>
      </w:r>
    </w:p>
    <w:p w:rsidR="00000000" w:rsidDel="00000000" w:rsidP="00000000" w:rsidRDefault="00000000" w:rsidRPr="00000000" w14:paraId="00000009">
      <w:pPr>
        <w:spacing w:after="240" w:before="240" w:lineRule="auto"/>
        <w:ind w:left="0" w:firstLine="0"/>
        <w:rPr/>
      </w:pPr>
      <w:r w:rsidDel="00000000" w:rsidR="00000000" w:rsidRPr="00000000">
        <w:rPr>
          <w:rtl w:val="0"/>
        </w:rPr>
        <w:t xml:space="preserve">The following sections each correspond to a topic presented in the public consultation document. A Word document of all the questions is available to download if you want to look through the whole survey in advance to prepare your answers.</w:t>
      </w:r>
    </w:p>
    <w:p w:rsidR="00000000" w:rsidDel="00000000" w:rsidP="00000000" w:rsidRDefault="00000000" w:rsidRPr="00000000" w14:paraId="0000000A">
      <w:pPr>
        <w:spacing w:after="240" w:before="240" w:lineRule="auto"/>
        <w:ind w:left="0" w:firstLine="0"/>
        <w:rPr/>
      </w:pPr>
      <w:r w:rsidDel="00000000" w:rsidR="00000000" w:rsidRPr="00000000">
        <w:rPr>
          <w:rtl w:val="0"/>
        </w:rPr>
        <w:t xml:space="preserve">You are not required to provide responses to every question of the survey and may skip to questions or sections of most importance for you or your organization. Respondents are encouraged to provide their own original inputs to the survey. While we recognize that AI tools may be used for translations or refinements, SBTN reserves the right to exclude submissions that it deems to be entirely AI- or bot-generated from analysis.</w:t>
      </w:r>
    </w:p>
    <w:p w:rsidR="00000000" w:rsidDel="00000000" w:rsidP="00000000" w:rsidRDefault="00000000" w:rsidRPr="00000000" w14:paraId="0000000B">
      <w:pPr>
        <w:spacing w:after="240" w:before="240" w:lineRule="auto"/>
        <w:ind w:left="0" w:firstLine="0"/>
        <w:rPr/>
      </w:pPr>
      <w:r w:rsidDel="00000000" w:rsidR="00000000" w:rsidRPr="00000000">
        <w:rPr>
          <w:rtl w:val="0"/>
        </w:rPr>
        <w:t xml:space="preserve">Please note that feedback submitted outside the official consultation channels and submissions that are unclear may be excluded from the analysis.</w:t>
      </w:r>
    </w:p>
    <w:p w:rsidR="00000000" w:rsidDel="00000000" w:rsidP="00000000" w:rsidRDefault="00000000" w:rsidRPr="00000000" w14:paraId="0000000C">
      <w:pPr>
        <w:spacing w:after="240" w:before="240" w:lineRule="auto"/>
        <w:ind w:left="0" w:firstLine="0"/>
        <w:rPr/>
      </w:pPr>
      <w:r w:rsidDel="00000000" w:rsidR="00000000" w:rsidRPr="00000000">
        <w:rPr>
          <w:rtl w:val="0"/>
        </w:rPr>
        <w:t xml:space="preserve">If you have any questions or issues accessing this survey, please reach out to SBTN at </w:t>
      </w:r>
      <w:hyperlink r:id="rId7">
        <w:r w:rsidDel="00000000" w:rsidR="00000000" w:rsidRPr="00000000">
          <w:rPr>
            <w:color w:val="1155cc"/>
            <w:u w:val="single"/>
            <w:rtl w:val="0"/>
          </w:rPr>
          <w:t xml:space="preserve">https://sciencebasedtargetsnetwork.org/contact/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pStyle w:val="Heading2"/>
        <w:spacing w:after="240" w:before="240" w:line="240" w:lineRule="auto"/>
        <w:ind w:left="0" w:firstLine="0"/>
        <w:rPr>
          <w:rFonts w:ascii="Raleway ExtraBold" w:cs="Raleway ExtraBold" w:eastAsia="Raleway ExtraBold" w:hAnsi="Raleway ExtraBold"/>
          <w:color w:val="035068"/>
          <w:sz w:val="28"/>
          <w:szCs w:val="28"/>
        </w:rPr>
      </w:pPr>
      <w:bookmarkStart w:colFirst="0" w:colLast="0" w:name="_pny9p8jm3xd4" w:id="2"/>
      <w:bookmarkEnd w:id="2"/>
      <w:r w:rsidDel="00000000" w:rsidR="00000000" w:rsidRPr="00000000">
        <w:rPr>
          <w:rFonts w:ascii="Raleway ExtraBold" w:cs="Raleway ExtraBold" w:eastAsia="Raleway ExtraBold" w:hAnsi="Raleway ExtraBold"/>
          <w:color w:val="035068"/>
          <w:sz w:val="28"/>
          <w:szCs w:val="28"/>
          <w:rtl w:val="0"/>
        </w:rPr>
        <w:t xml:space="preserve">   </w:t>
      </w:r>
      <w:r w:rsidDel="00000000" w:rsidR="00000000" w:rsidRPr="00000000">
        <w:rPr>
          <w:rFonts w:ascii="Raleway ExtraBold" w:cs="Raleway ExtraBold" w:eastAsia="Raleway ExtraBold" w:hAnsi="Raleway ExtraBold"/>
          <w:color w:val="035068"/>
          <w:sz w:val="28"/>
          <w:szCs w:val="28"/>
          <w:rtl w:val="0"/>
        </w:rPr>
        <w:t xml:space="preserve">About you and/or your organization</w:t>
      </w:r>
      <w:r w:rsidDel="00000000" w:rsidR="00000000" w:rsidRPr="00000000">
        <w:rPr>
          <w:rtl w:val="0"/>
        </w:rPr>
      </w:r>
    </w:p>
    <w:p w:rsidR="00000000" w:rsidDel="00000000" w:rsidP="00000000" w:rsidRDefault="00000000" w:rsidRPr="00000000" w14:paraId="0000000E">
      <w:pPr>
        <w:numPr>
          <w:ilvl w:val="0"/>
          <w:numId w:val="10"/>
        </w:numPr>
        <w:rPr>
          <w:rFonts w:ascii="Merriweather" w:cs="Merriweather" w:eastAsia="Merriweather" w:hAnsi="Merriweather"/>
          <w:sz w:val="20"/>
          <w:szCs w:val="20"/>
        </w:rPr>
      </w:pPr>
      <w:r w:rsidDel="00000000" w:rsidR="00000000" w:rsidRPr="00000000">
        <w:rPr>
          <w:rtl w:val="0"/>
        </w:rPr>
        <w:t xml:space="preserve">Email</w:t>
      </w:r>
    </w:p>
    <w:p w:rsidR="00000000" w:rsidDel="00000000" w:rsidP="00000000" w:rsidRDefault="00000000" w:rsidRPr="00000000" w14:paraId="0000000F">
      <w:pPr>
        <w:numPr>
          <w:ilvl w:val="0"/>
          <w:numId w:val="10"/>
        </w:numPr>
        <w:rPr>
          <w:rFonts w:ascii="Merriweather" w:cs="Merriweather" w:eastAsia="Merriweather" w:hAnsi="Merriweather"/>
          <w:sz w:val="20"/>
          <w:szCs w:val="20"/>
        </w:rPr>
      </w:pPr>
      <w:r w:rsidDel="00000000" w:rsidR="00000000" w:rsidRPr="00000000">
        <w:rPr>
          <w:rtl w:val="0"/>
        </w:rPr>
        <w:t xml:space="preserve">First name</w:t>
      </w:r>
    </w:p>
    <w:p w:rsidR="00000000" w:rsidDel="00000000" w:rsidP="00000000" w:rsidRDefault="00000000" w:rsidRPr="00000000" w14:paraId="00000010">
      <w:pPr>
        <w:numPr>
          <w:ilvl w:val="0"/>
          <w:numId w:val="10"/>
        </w:numPr>
        <w:rPr>
          <w:rFonts w:ascii="Merriweather" w:cs="Merriweather" w:eastAsia="Merriweather" w:hAnsi="Merriweather"/>
          <w:sz w:val="20"/>
          <w:szCs w:val="20"/>
        </w:rPr>
      </w:pPr>
      <w:r w:rsidDel="00000000" w:rsidR="00000000" w:rsidRPr="00000000">
        <w:rPr>
          <w:rtl w:val="0"/>
        </w:rPr>
        <w:t xml:space="preserve">Last name </w:t>
      </w:r>
    </w:p>
    <w:p w:rsidR="00000000" w:rsidDel="00000000" w:rsidP="00000000" w:rsidRDefault="00000000" w:rsidRPr="00000000" w14:paraId="00000011">
      <w:pPr>
        <w:numPr>
          <w:ilvl w:val="0"/>
          <w:numId w:val="10"/>
        </w:numPr>
        <w:rPr>
          <w:rFonts w:ascii="Merriweather" w:cs="Merriweather" w:eastAsia="Merriweather" w:hAnsi="Merriweather"/>
          <w:sz w:val="20"/>
          <w:szCs w:val="20"/>
        </w:rPr>
      </w:pPr>
      <w:r w:rsidDel="00000000" w:rsidR="00000000" w:rsidRPr="00000000">
        <w:rPr>
          <w:rtl w:val="0"/>
        </w:rPr>
        <w:t xml:space="preserve">Organization Name (if responding as an individual, please write 'individual')</w:t>
      </w:r>
    </w:p>
    <w:p w:rsidR="00000000" w:rsidDel="00000000" w:rsidP="00000000" w:rsidRDefault="00000000" w:rsidRPr="00000000" w14:paraId="00000012">
      <w:pPr>
        <w:numPr>
          <w:ilvl w:val="0"/>
          <w:numId w:val="10"/>
        </w:numPr>
        <w:rPr>
          <w:rFonts w:ascii="Merriweather" w:cs="Merriweather" w:eastAsia="Merriweather" w:hAnsi="Merriweather"/>
          <w:sz w:val="20"/>
          <w:szCs w:val="20"/>
        </w:rPr>
      </w:pPr>
      <w:r w:rsidDel="00000000" w:rsidR="00000000" w:rsidRPr="00000000">
        <w:rPr>
          <w:rtl w:val="0"/>
        </w:rPr>
        <w:t xml:space="preserve">Type of organization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qvewhcgsafou" w:id="3"/>
      <w:bookmarkEnd w:id="3"/>
      <w:r w:rsidDel="00000000" w:rsidR="00000000" w:rsidRPr="00000000">
        <w:rPr>
          <w:rtl w:val="0"/>
        </w:rPr>
      </w:r>
    </w:p>
    <w:p w:rsidR="00000000" w:rsidDel="00000000" w:rsidP="00000000" w:rsidRDefault="00000000" w:rsidRPr="00000000" w14:paraId="00000014">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w3d45rc5h6n6" w:id="4"/>
      <w:bookmarkEnd w:id="4"/>
      <w:r w:rsidDel="00000000" w:rsidR="00000000" w:rsidRPr="00000000">
        <w:rPr>
          <w:rFonts w:ascii="Raleway ExtraBold" w:cs="Raleway ExtraBold" w:eastAsia="Raleway ExtraBold" w:hAnsi="Raleway ExtraBold"/>
          <w:color w:val="035068"/>
          <w:sz w:val="28"/>
          <w:szCs w:val="28"/>
          <w:rtl w:val="0"/>
        </w:rPr>
        <w:t xml:space="preserve">1. Changes to the SBTN materiality tools</w:t>
      </w:r>
    </w:p>
    <w:p w:rsidR="00000000" w:rsidDel="00000000" w:rsidP="00000000" w:rsidRDefault="00000000" w:rsidRPr="00000000" w14:paraId="00000015">
      <w:pPr>
        <w:numPr>
          <w:ilvl w:val="0"/>
          <w:numId w:val="6"/>
        </w:numPr>
        <w:spacing w:after="0" w:afterAutospacing="0" w:before="240" w:lineRule="auto"/>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Please rank the three options presented in this section in terms of how much improvement you think the change offers for end users.</w:t>
      </w:r>
    </w:p>
    <w:p w:rsidR="00000000" w:rsidDel="00000000" w:rsidP="00000000" w:rsidRDefault="00000000" w:rsidRPr="00000000" w14:paraId="00000016">
      <w:pPr>
        <w:numPr>
          <w:ilvl w:val="0"/>
          <w:numId w:val="6"/>
        </w:numPr>
        <w:spacing w:after="0" w:afterAutospacing="0" w:before="0" w:beforeAutospacing="0" w:lineRule="auto"/>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Please explain your rationale for the rankings selected in the question above.</w:t>
      </w:r>
      <w:r w:rsidDel="00000000" w:rsidR="00000000" w:rsidRPr="00000000">
        <w:rPr>
          <w:rtl w:val="0"/>
        </w:rPr>
      </w:r>
    </w:p>
    <w:p w:rsidR="00000000" w:rsidDel="00000000" w:rsidP="00000000" w:rsidRDefault="00000000" w:rsidRPr="00000000" w14:paraId="00000017">
      <w:pPr>
        <w:numPr>
          <w:ilvl w:val="0"/>
          <w:numId w:val="6"/>
        </w:numPr>
        <w:spacing w:after="240" w:before="0" w:before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What risks and benefits do you see for SBTN in each of these options? Please include your perspective on how they affect the aims of the SBTN materiality screening.</w:t>
      </w:r>
    </w:p>
    <w:p w:rsidR="00000000" w:rsidDel="00000000" w:rsidP="00000000" w:rsidRDefault="00000000" w:rsidRPr="00000000" w14:paraId="00000018">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ri1txloii74e" w:id="5"/>
      <w:bookmarkEnd w:id="5"/>
      <w:r w:rsidDel="00000000" w:rsidR="00000000" w:rsidRPr="00000000">
        <w:rPr>
          <w:rFonts w:ascii="Raleway ExtraBold" w:cs="Raleway ExtraBold" w:eastAsia="Raleway ExtraBold" w:hAnsi="Raleway ExtraBold"/>
          <w:color w:val="035068"/>
          <w:sz w:val="28"/>
          <w:szCs w:val="28"/>
          <w:rtl w:val="0"/>
        </w:rPr>
        <w:t xml:space="preserve">2. Action across multiple upstream value chain stages</w:t>
      </w:r>
    </w:p>
    <w:p w:rsidR="00000000" w:rsidDel="00000000" w:rsidP="00000000" w:rsidRDefault="00000000" w:rsidRPr="00000000" w14:paraId="00000019">
      <w:pPr>
        <w:numPr>
          <w:ilvl w:val="0"/>
          <w:numId w:val="7"/>
        </w:numPr>
        <w:spacing w:after="0" w:afterAutospacing="0" w:before="240" w:lineRule="auto"/>
        <w:ind w:left="720" w:hanging="360"/>
        <w:rPr>
          <w:rFonts w:ascii="Noto Sans Symbols" w:cs="Noto Sans Symbols" w:eastAsia="Noto Sans Symbols" w:hAnsi="Noto Sans Symbols"/>
          <w:sz w:val="20"/>
          <w:szCs w:val="20"/>
        </w:rPr>
      </w:pPr>
      <w:r w:rsidDel="00000000" w:rsidR="00000000" w:rsidRPr="00000000">
        <w:rPr>
          <w:rFonts w:ascii="Merriweather" w:cs="Merriweather" w:eastAsia="Merriweather" w:hAnsi="Merriweather"/>
          <w:sz w:val="20"/>
          <w:szCs w:val="20"/>
          <w:rtl w:val="0"/>
        </w:rPr>
        <w:t xml:space="preserve">Do you think that this approach preserves the aims of SBTs for nature by offering more entry points for action in the upstream value chain?</w:t>
      </w:r>
    </w:p>
    <w:p w:rsidR="00000000" w:rsidDel="00000000" w:rsidP="00000000" w:rsidRDefault="00000000" w:rsidRPr="00000000" w14:paraId="0000001A">
      <w:pPr>
        <w:numPr>
          <w:ilvl w:val="0"/>
          <w:numId w:val="7"/>
        </w:numPr>
        <w:spacing w:after="0" w:afterAutospacing="0" w:before="0" w:beforeAutospacing="0" w:lineRule="auto"/>
        <w:ind w:left="720" w:hanging="360"/>
        <w:rPr>
          <w:rFonts w:ascii="Noto Sans Symbols" w:cs="Noto Sans Symbols" w:eastAsia="Noto Sans Symbols" w:hAnsi="Noto Sans Symbols"/>
          <w:sz w:val="20"/>
          <w:szCs w:val="20"/>
        </w:rPr>
      </w:pPr>
      <w:r w:rsidDel="00000000" w:rsidR="00000000" w:rsidRPr="00000000">
        <w:rPr>
          <w:rFonts w:ascii="Merriweather" w:cs="Merriweather" w:eastAsia="Merriweather" w:hAnsi="Merriweather"/>
          <w:sz w:val="20"/>
          <w:szCs w:val="20"/>
          <w:rtl w:val="0"/>
        </w:rPr>
        <w:t xml:space="preserve">How can we ensure progress remains transparent through claims and disclosures? </w:t>
      </w:r>
    </w:p>
    <w:p w:rsidR="00000000" w:rsidDel="00000000" w:rsidP="00000000" w:rsidRDefault="00000000" w:rsidRPr="00000000" w14:paraId="0000001B">
      <w:pPr>
        <w:numPr>
          <w:ilvl w:val="0"/>
          <w:numId w:val="7"/>
        </w:numPr>
        <w:spacing w:after="0" w:afterAutospacing="0" w:before="0" w:beforeAutospacing="0" w:lineRule="auto"/>
        <w:ind w:left="720" w:hanging="360"/>
        <w:rPr>
          <w:rFonts w:ascii="Noto Sans Symbols" w:cs="Noto Sans Symbols" w:eastAsia="Noto Sans Symbols" w:hAnsi="Noto Sans Symbols"/>
          <w:sz w:val="20"/>
          <w:szCs w:val="20"/>
        </w:rPr>
      </w:pPr>
      <w:r w:rsidDel="00000000" w:rsidR="00000000" w:rsidRPr="00000000">
        <w:rPr>
          <w:rFonts w:ascii="Merriweather" w:cs="Merriweather" w:eastAsia="Merriweather" w:hAnsi="Merriweather"/>
          <w:sz w:val="20"/>
          <w:szCs w:val="20"/>
          <w:rtl w:val="0"/>
        </w:rPr>
        <w:t xml:space="preserve">Is the proposed solution for documenting pressures by value chain stage feasible for companies? </w:t>
      </w:r>
    </w:p>
    <w:p w:rsidR="00000000" w:rsidDel="00000000" w:rsidP="00000000" w:rsidRDefault="00000000" w:rsidRPr="00000000" w14:paraId="0000001C">
      <w:pPr>
        <w:numPr>
          <w:ilvl w:val="0"/>
          <w:numId w:val="7"/>
        </w:numPr>
        <w:spacing w:after="240" w:before="0" w:beforeAutospacing="0" w:lineRule="auto"/>
        <w:ind w:left="720" w:hanging="360"/>
        <w:rPr>
          <w:rFonts w:ascii="Noto Sans Symbols" w:cs="Noto Sans Symbols" w:eastAsia="Noto Sans Symbols" w:hAnsi="Noto Sans Symbols"/>
          <w:sz w:val="20"/>
          <w:szCs w:val="20"/>
        </w:rPr>
      </w:pPr>
      <w:r w:rsidDel="00000000" w:rsidR="00000000" w:rsidRPr="00000000">
        <w:rPr>
          <w:rFonts w:ascii="Merriweather" w:cs="Merriweather" w:eastAsia="Merriweather" w:hAnsi="Merriweather"/>
          <w:sz w:val="20"/>
          <w:szCs w:val="20"/>
          <w:rtl w:val="0"/>
        </w:rPr>
        <w:t xml:space="preserve">Is the proposed solution for documenting pressures by value chain stage understandable by third-parties?</w:t>
      </w:r>
      <w:r w:rsidDel="00000000" w:rsidR="00000000" w:rsidRPr="00000000">
        <w:rPr>
          <w:rtl w:val="0"/>
        </w:rPr>
      </w:r>
    </w:p>
    <w:p w:rsidR="00000000" w:rsidDel="00000000" w:rsidP="00000000" w:rsidRDefault="00000000" w:rsidRPr="00000000" w14:paraId="0000001D">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rpe8gt60a33d" w:id="6"/>
      <w:bookmarkEnd w:id="6"/>
      <w:r w:rsidDel="00000000" w:rsidR="00000000" w:rsidRPr="00000000">
        <w:rPr>
          <w:rFonts w:ascii="Raleway ExtraBold" w:cs="Raleway ExtraBold" w:eastAsia="Raleway ExtraBold" w:hAnsi="Raleway ExtraBold"/>
          <w:color w:val="035068"/>
          <w:sz w:val="28"/>
          <w:szCs w:val="28"/>
          <w:rtl w:val="0"/>
        </w:rPr>
        <w:t xml:space="preserve">3. Assessment of dependencies</w:t>
      </w:r>
    </w:p>
    <w:p w:rsidR="00000000" w:rsidDel="00000000" w:rsidP="00000000" w:rsidRDefault="00000000" w:rsidRPr="00000000" w14:paraId="0000001E">
      <w:pPr>
        <w:numPr>
          <w:ilvl w:val="0"/>
          <w:numId w:val="9"/>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Would you recommend integrating dependencies in the 1a materiality screening or 1b assessment? Please explain how you think your choice strengthens sustainability decision-making.</w:t>
      </w:r>
    </w:p>
    <w:p w:rsidR="00000000" w:rsidDel="00000000" w:rsidP="00000000" w:rsidRDefault="00000000" w:rsidRPr="00000000" w14:paraId="0000001F">
      <w:pPr>
        <w:numPr>
          <w:ilvl w:val="0"/>
          <w:numId w:val="9"/>
        </w:numPr>
        <w:spacing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Is this change feasible to implement for companies? The assumption is that the additional data gathering requirements, especially if using ENCORE, would not be significant and that the alignment opportunities across other sustainability frameworks would be useful for companies. </w:t>
      </w:r>
    </w:p>
    <w:p w:rsidR="00000000" w:rsidDel="00000000" w:rsidP="00000000" w:rsidRDefault="00000000" w:rsidRPr="00000000" w14:paraId="00000020">
      <w:pPr>
        <w:numPr>
          <w:ilvl w:val="0"/>
          <w:numId w:val="9"/>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Do you have any suggestions for data, models, or methods for assessing dependencies for companies that we should reference in our method update?</w:t>
      </w:r>
    </w:p>
    <w:p w:rsidR="00000000" w:rsidDel="00000000" w:rsidP="00000000" w:rsidRDefault="00000000" w:rsidRPr="00000000" w14:paraId="00000021">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2y2xn0i31wmi" w:id="7"/>
      <w:bookmarkEnd w:id="7"/>
      <w:r w:rsidDel="00000000" w:rsidR="00000000" w:rsidRPr="00000000">
        <w:rPr>
          <w:rFonts w:ascii="Raleway ExtraBold" w:cs="Raleway ExtraBold" w:eastAsia="Raleway ExtraBold" w:hAnsi="Raleway ExtraBold"/>
          <w:color w:val="035068"/>
          <w:sz w:val="28"/>
          <w:szCs w:val="28"/>
          <w:rtl w:val="0"/>
        </w:rPr>
        <w:t xml:space="preserve">4. Progress-based assessment with traceability disclosures</w:t>
      </w:r>
    </w:p>
    <w:p w:rsidR="00000000" w:rsidDel="00000000" w:rsidP="00000000" w:rsidRDefault="00000000" w:rsidRPr="00000000" w14:paraId="00000022">
      <w:pPr>
        <w:numPr>
          <w:ilvl w:val="0"/>
          <w:numId w:val="2"/>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Does this change provide the right balance of accountability safeguards and incentives for traceability progress?</w:t>
      </w:r>
    </w:p>
    <w:p w:rsidR="00000000" w:rsidDel="00000000" w:rsidP="00000000" w:rsidRDefault="00000000" w:rsidRPr="00000000" w14:paraId="00000023">
      <w:pPr>
        <w:numPr>
          <w:ilvl w:val="0"/>
          <w:numId w:val="2"/>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Is the proposed breakdown by spatial levels an adequate framework to communicate target setting readiness and traceability progress?</w:t>
      </w:r>
    </w:p>
    <w:p w:rsidR="00000000" w:rsidDel="00000000" w:rsidP="00000000" w:rsidRDefault="00000000" w:rsidRPr="00000000" w14:paraId="00000024">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oxydfr6rwzpq" w:id="8"/>
      <w:bookmarkEnd w:id="8"/>
      <w:r w:rsidDel="00000000" w:rsidR="00000000" w:rsidRPr="00000000">
        <w:rPr>
          <w:rFonts w:ascii="Raleway ExtraBold" w:cs="Raleway ExtraBold" w:eastAsia="Raleway ExtraBold" w:hAnsi="Raleway ExtraBold"/>
          <w:color w:val="035068"/>
          <w:sz w:val="28"/>
          <w:szCs w:val="28"/>
          <w:rtl w:val="0"/>
        </w:rPr>
        <w:t xml:space="preserve">5. Traceability prioritization criteria</w:t>
      </w:r>
    </w:p>
    <w:p w:rsidR="00000000" w:rsidDel="00000000" w:rsidP="00000000" w:rsidRDefault="00000000" w:rsidRPr="00000000" w14:paraId="00000025">
      <w:pPr>
        <w:numPr>
          <w:ilvl w:val="0"/>
          <w:numId w:val="3"/>
        </w:numPr>
        <w:spacing w:after="0" w:afterAutospacing="0" w:before="24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Are there other criteria that should be taken into account to determine traceability priorities or should any of these criteria carry more weight? </w:t>
      </w:r>
    </w:p>
    <w:p w:rsidR="00000000" w:rsidDel="00000000" w:rsidP="00000000" w:rsidRDefault="00000000" w:rsidRPr="00000000" w14:paraId="00000026">
      <w:pPr>
        <w:numPr>
          <w:ilvl w:val="0"/>
          <w:numId w:val="3"/>
        </w:numPr>
        <w:spacing w:after="240" w:before="0" w:before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Besides the ranking, is there other guidance that SBTN can provide to support decision-making related to where to prioritize traceability?</w:t>
      </w:r>
    </w:p>
    <w:p w:rsidR="00000000" w:rsidDel="00000000" w:rsidP="00000000" w:rsidRDefault="00000000" w:rsidRPr="00000000" w14:paraId="00000027">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j5jbuelphxb2" w:id="9"/>
      <w:bookmarkEnd w:id="9"/>
      <w:r w:rsidDel="00000000" w:rsidR="00000000" w:rsidRPr="00000000">
        <w:rPr>
          <w:rFonts w:ascii="Raleway ExtraBold" w:cs="Raleway ExtraBold" w:eastAsia="Raleway ExtraBold" w:hAnsi="Raleway ExtraBold"/>
          <w:color w:val="035068"/>
          <w:sz w:val="28"/>
          <w:szCs w:val="28"/>
          <w:rtl w:val="0"/>
        </w:rPr>
        <w:t xml:space="preserve">6. Supplier engagement pathways to target setting and progress</w:t>
      </w:r>
      <w:r w:rsidDel="00000000" w:rsidR="00000000" w:rsidRPr="00000000">
        <w:rPr>
          <w:rtl w:val="0"/>
        </w:rPr>
      </w:r>
    </w:p>
    <w:p w:rsidR="00000000" w:rsidDel="00000000" w:rsidP="00000000" w:rsidRDefault="00000000" w:rsidRPr="00000000" w14:paraId="00000028">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Note: All questions associated with these pathways are presented in the sections below.</w:t>
      </w:r>
    </w:p>
    <w:p w:rsidR="00000000" w:rsidDel="00000000" w:rsidP="00000000" w:rsidRDefault="00000000" w:rsidRPr="00000000" w14:paraId="00000029">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i5n7b7i5v9lc" w:id="10"/>
      <w:bookmarkEnd w:id="10"/>
      <w:r w:rsidDel="00000000" w:rsidR="00000000" w:rsidRPr="00000000">
        <w:rPr>
          <w:rFonts w:ascii="Raleway ExtraBold" w:cs="Raleway ExtraBold" w:eastAsia="Raleway ExtraBold" w:hAnsi="Raleway ExtraBold"/>
          <w:b w:val="1"/>
          <w:bCs w:val="1"/>
          <w:color w:val="035068"/>
          <w:sz w:val="28"/>
          <w:szCs w:val="28"/>
          <w:rtl w:val="0"/>
        </w:rPr>
        <w:t xml:space="preserve">7. Supplier engagement targets to create enabling conditions for SBTs: advancing traceability &amp; recruiting suppliers</w:t>
      </w:r>
      <w:r w:rsidDel="00000000" w:rsidR="00000000" w:rsidRPr="00000000">
        <w:rPr>
          <w:rtl w:val="0"/>
        </w:rPr>
      </w:r>
    </w:p>
    <w:p w:rsidR="00000000" w:rsidDel="00000000" w:rsidP="00000000" w:rsidRDefault="00000000" w:rsidRPr="00000000" w14:paraId="0000002A">
      <w:pPr>
        <w:numPr>
          <w:ilvl w:val="0"/>
          <w:numId w:val="1"/>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How might these supplier engagement targets be enhanced to provide adequate incentives for companies to progress in setting SBTs for nature for their upstream value chain?</w:t>
      </w:r>
    </w:p>
    <w:p w:rsidR="00000000" w:rsidDel="00000000" w:rsidP="00000000" w:rsidRDefault="00000000" w:rsidRPr="00000000" w14:paraId="0000002B">
      <w:pPr>
        <w:numPr>
          <w:ilvl w:val="0"/>
          <w:numId w:val="1"/>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How can SBTN include claims on these targets as part of the target tracker and other SBTN-related disclosures, while distinguishing them from science-based targets?</w:t>
      </w:r>
    </w:p>
    <w:p w:rsidR="00000000" w:rsidDel="00000000" w:rsidP="00000000" w:rsidRDefault="00000000" w:rsidRPr="00000000" w14:paraId="0000002C">
      <w:pPr>
        <w:pStyle w:val="Heading2"/>
        <w:spacing w:after="240" w:before="240" w:line="240" w:lineRule="auto"/>
        <w:rPr>
          <w:rFonts w:ascii="Raleway ExtraBold" w:cs="Raleway ExtraBold" w:eastAsia="Raleway ExtraBold" w:hAnsi="Raleway ExtraBold"/>
          <w:b w:val="1"/>
          <w:bCs w:val="1"/>
          <w:color w:val="035068"/>
          <w:sz w:val="28"/>
          <w:szCs w:val="28"/>
        </w:rPr>
      </w:pPr>
      <w:bookmarkStart w:colFirst="0" w:colLast="0" w:name="_va5692ap6rms" w:id="11"/>
      <w:bookmarkEnd w:id="11"/>
      <w:r w:rsidDel="00000000" w:rsidR="00000000" w:rsidRPr="00000000">
        <w:rPr>
          <w:rFonts w:ascii="Raleway ExtraBold" w:cs="Raleway ExtraBold" w:eastAsia="Raleway ExtraBold" w:hAnsi="Raleway ExtraBold"/>
          <w:color w:val="035068"/>
          <w:sz w:val="28"/>
          <w:szCs w:val="28"/>
          <w:rtl w:val="0"/>
        </w:rPr>
        <w:t xml:space="preserve">8. Response option targets (in collaboration with suppliers): practice  changes, landscape engagement, and other interventions</w:t>
      </w:r>
      <w:r w:rsidDel="00000000" w:rsidR="00000000" w:rsidRPr="00000000">
        <w:rPr>
          <w:rtl w:val="0"/>
        </w:rPr>
      </w:r>
    </w:p>
    <w:p w:rsidR="00000000" w:rsidDel="00000000" w:rsidP="00000000" w:rsidRDefault="00000000" w:rsidRPr="00000000" w14:paraId="0000002D">
      <w:pPr>
        <w:numPr>
          <w:ilvl w:val="0"/>
          <w:numId w:val="8"/>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What are adequate ways to account for progress from response options and transfer them as progress on targets retrospectively (i.e., once SBTs are set in the future)?</w:t>
      </w:r>
    </w:p>
    <w:p w:rsidR="00000000" w:rsidDel="00000000" w:rsidP="00000000" w:rsidRDefault="00000000" w:rsidRPr="00000000" w14:paraId="0000002E">
      <w:pPr>
        <w:numPr>
          <w:ilvl w:val="0"/>
          <w:numId w:val="8"/>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What risks and opportunities would this bring to companies working on setting and making progress on their SBTs for nature?</w:t>
      </w:r>
      <w:r w:rsidDel="00000000" w:rsidR="00000000" w:rsidRPr="00000000">
        <w:rPr>
          <w:rtl w:val="0"/>
        </w:rPr>
      </w:r>
    </w:p>
    <w:p w:rsidR="00000000" w:rsidDel="00000000" w:rsidP="00000000" w:rsidRDefault="00000000" w:rsidRPr="00000000" w14:paraId="0000002F">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12dowtwiqd1k" w:id="12"/>
      <w:bookmarkEnd w:id="12"/>
      <w:r w:rsidDel="00000000" w:rsidR="00000000" w:rsidRPr="00000000">
        <w:rPr>
          <w:rFonts w:ascii="Raleway ExtraBold" w:cs="Raleway ExtraBold" w:eastAsia="Raleway ExtraBold" w:hAnsi="Raleway ExtraBold"/>
          <w:color w:val="035068"/>
          <w:sz w:val="28"/>
          <w:szCs w:val="28"/>
          <w:rtl w:val="0"/>
        </w:rPr>
        <w:t xml:space="preserve">9. Accountability models for supplier target-setting</w:t>
      </w:r>
    </w:p>
    <w:p w:rsidR="00000000" w:rsidDel="00000000" w:rsidP="00000000" w:rsidRDefault="00000000" w:rsidRPr="00000000" w14:paraId="00000030">
      <w:pPr>
        <w:numPr>
          <w:ilvl w:val="0"/>
          <w:numId w:val="12"/>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How should validation and claims work for the shared and delegated ownership models? </w:t>
      </w:r>
    </w:p>
    <w:p w:rsidR="00000000" w:rsidDel="00000000" w:rsidP="00000000" w:rsidRDefault="00000000" w:rsidRPr="00000000" w14:paraId="00000031">
      <w:pPr>
        <w:numPr>
          <w:ilvl w:val="0"/>
          <w:numId w:val="12"/>
        </w:numPr>
        <w:spacing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What additional changes, guidance, or incentives, could SBTN implement to facilitate collaboration and interest from suppliers to participate?</w:t>
      </w:r>
    </w:p>
    <w:p w:rsidR="00000000" w:rsidDel="00000000" w:rsidP="00000000" w:rsidRDefault="00000000" w:rsidRPr="00000000" w14:paraId="00000032">
      <w:pPr>
        <w:numPr>
          <w:ilvl w:val="0"/>
          <w:numId w:val="12"/>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Do you see a need to adapt any requirements for suppliers that are SMEs?</w:t>
      </w:r>
    </w:p>
    <w:p w:rsidR="00000000" w:rsidDel="00000000" w:rsidP="00000000" w:rsidRDefault="00000000" w:rsidRPr="00000000" w14:paraId="00000033">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33kpq9kmn635" w:id="13"/>
      <w:bookmarkEnd w:id="13"/>
      <w:r w:rsidDel="00000000" w:rsidR="00000000" w:rsidRPr="00000000">
        <w:rPr>
          <w:rFonts w:ascii="Raleway ExtraBold" w:cs="Raleway ExtraBold" w:eastAsia="Raleway ExtraBold" w:hAnsi="Raleway ExtraBold"/>
          <w:color w:val="035068"/>
          <w:sz w:val="28"/>
          <w:szCs w:val="28"/>
          <w:rtl w:val="0"/>
        </w:rPr>
        <w:t xml:space="preserve">10. Alterations in the Step 2b ranking</w:t>
      </w:r>
    </w:p>
    <w:p w:rsidR="00000000" w:rsidDel="00000000" w:rsidP="00000000" w:rsidRDefault="00000000" w:rsidRPr="00000000" w14:paraId="00000034">
      <w:pPr>
        <w:numPr>
          <w:ilvl w:val="0"/>
          <w:numId w:val="5"/>
        </w:numPr>
        <w:spacing w:after="0" w:afterAutospacing="0" w:before="24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Would any or all of these approaches result in a more appropriate ranking of locations, given what is expected of the prioritization approach?</w:t>
      </w:r>
    </w:p>
    <w:p w:rsidR="00000000" w:rsidDel="00000000" w:rsidP="00000000" w:rsidRDefault="00000000" w:rsidRPr="00000000" w14:paraId="00000035">
      <w:pPr>
        <w:numPr>
          <w:ilvl w:val="0"/>
          <w:numId w:val="5"/>
        </w:numPr>
        <w:spacing w:after="240" w:before="0" w:beforeAutospacing="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Are there other approaches that SBTN should consider to produce this combined ranking?</w:t>
      </w:r>
      <w:r w:rsidDel="00000000" w:rsidR="00000000" w:rsidRPr="00000000">
        <w:rPr>
          <w:rtl w:val="0"/>
        </w:rPr>
      </w:r>
    </w:p>
    <w:p w:rsidR="00000000" w:rsidDel="00000000" w:rsidP="00000000" w:rsidRDefault="00000000" w:rsidRPr="00000000" w14:paraId="00000036">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tfxr3gigodgx" w:id="14"/>
      <w:bookmarkEnd w:id="14"/>
      <w:r w:rsidDel="00000000" w:rsidR="00000000" w:rsidRPr="00000000">
        <w:rPr>
          <w:rFonts w:ascii="Raleway ExtraBold" w:cs="Raleway ExtraBold" w:eastAsia="Raleway ExtraBold" w:hAnsi="Raleway ExtraBold"/>
          <w:color w:val="035068"/>
          <w:sz w:val="28"/>
          <w:szCs w:val="28"/>
          <w:rtl w:val="0"/>
        </w:rPr>
        <w:t xml:space="preserve">11. Complementary prioritization guidance</w:t>
      </w:r>
    </w:p>
    <w:p w:rsidR="00000000" w:rsidDel="00000000" w:rsidP="00000000" w:rsidRDefault="00000000" w:rsidRPr="00000000" w14:paraId="00000037">
      <w:pPr>
        <w:numPr>
          <w:ilvl w:val="0"/>
          <w:numId w:val="11"/>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What additional safeguards or accountability mechanisms should be implemented to support the implementation of this guidance, if any? </w:t>
      </w:r>
    </w:p>
    <w:p w:rsidR="00000000" w:rsidDel="00000000" w:rsidP="00000000" w:rsidRDefault="00000000" w:rsidRPr="00000000" w14:paraId="00000038">
      <w:pPr>
        <w:numPr>
          <w:ilvl w:val="0"/>
          <w:numId w:val="11"/>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Besides social and justice factors and strategic factors (including business risks and priorities, as well as financial materiality), are there other angles that would strengthen this guidance?</w:t>
      </w:r>
    </w:p>
    <w:p w:rsidR="00000000" w:rsidDel="00000000" w:rsidP="00000000" w:rsidRDefault="00000000" w:rsidRPr="00000000" w14:paraId="00000039">
      <w:pPr>
        <w:pStyle w:val="Heading2"/>
        <w:spacing w:after="240" w:before="240" w:line="240" w:lineRule="auto"/>
        <w:rPr>
          <w:rFonts w:ascii="Raleway ExtraBold" w:cs="Raleway ExtraBold" w:eastAsia="Raleway ExtraBold" w:hAnsi="Raleway ExtraBold"/>
          <w:color w:val="035068"/>
          <w:sz w:val="28"/>
          <w:szCs w:val="28"/>
        </w:rPr>
      </w:pPr>
      <w:bookmarkStart w:colFirst="0" w:colLast="0" w:name="_dak74ivnur7f" w:id="15"/>
      <w:bookmarkEnd w:id="15"/>
      <w:r w:rsidDel="00000000" w:rsidR="00000000" w:rsidRPr="00000000">
        <w:rPr>
          <w:rFonts w:ascii="Raleway ExtraBold" w:cs="Raleway ExtraBold" w:eastAsia="Raleway ExtraBold" w:hAnsi="Raleway ExtraBold"/>
          <w:color w:val="035068"/>
          <w:sz w:val="28"/>
          <w:szCs w:val="28"/>
          <w:rtl w:val="0"/>
        </w:rPr>
        <w:t xml:space="preserve">12. Use of Step 1 &amp; 2 results to contextualize claims on targets set</w:t>
      </w:r>
    </w:p>
    <w:p w:rsidR="00000000" w:rsidDel="00000000" w:rsidP="00000000" w:rsidRDefault="00000000" w:rsidRPr="00000000" w14:paraId="0000003A">
      <w:pPr>
        <w:numPr>
          <w:ilvl w:val="0"/>
          <w:numId w:val="4"/>
        </w:numPr>
        <w:spacing w:before="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Is this additional context needed to support interpretation of SBTs for nature? Why or why not?</w:t>
      </w:r>
    </w:p>
    <w:p w:rsidR="00000000" w:rsidDel="00000000" w:rsidP="00000000" w:rsidRDefault="00000000" w:rsidRPr="00000000" w14:paraId="0000003B">
      <w:pPr>
        <w:numPr>
          <w:ilvl w:val="0"/>
          <w:numId w:val="4"/>
        </w:numPr>
        <w:spacing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Which option or combination of options presented in this section would be most effective to provide the context required for each target? Are there other options that would provide more effective context?</w:t>
      </w:r>
    </w:p>
    <w:p w:rsidR="00000000" w:rsidDel="00000000" w:rsidP="00000000" w:rsidRDefault="00000000" w:rsidRPr="00000000" w14:paraId="0000003C">
      <w:pPr>
        <w:numPr>
          <w:ilvl w:val="0"/>
          <w:numId w:val="4"/>
        </w:numPr>
        <w:spacing w:after="240" w:line="276"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companies that are just starting (and do not have a high coverage with targets) or are highly complex, how can this information be presented in such a way that it does not minimize a company’s targets?</w:t>
      </w:r>
      <w:r w:rsidDel="00000000" w:rsidR="00000000" w:rsidRPr="00000000">
        <w:rPr>
          <w:rtl w:val="0"/>
        </w:rPr>
      </w:r>
    </w:p>
    <w:sectPr>
      <w:headerReference r:id="rId8" w:type="default"/>
      <w:headerReference r:id="rId9" w:type="firs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jc w:val="center"/>
      <w:rPr/>
    </w:pPr>
    <w:r w:rsidDel="00000000" w:rsidR="00000000" w:rsidRPr="00000000">
      <w:rPr/>
      <w:drawing>
        <wp:inline distB="114300" distT="114300" distL="114300" distR="114300">
          <wp:extent cx="2719388" cy="85584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19388" cy="85584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lang w:val="en_GB"/>
      </w:rPr>
    </w:rPrDefault>
    <w:pPrDefault>
      <w:pPr>
        <w:spacing w:line="276" w:lineRule="auto"/>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forms.gle/TcRcFEdFTzyqbgUc7" TargetMode="External"/><Relationship Id="rId7" Type="http://schemas.openxmlformats.org/officeDocument/2006/relationships/hyperlink" Target="https://sciencebasedtargetsnetwork.org/contac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RalewayExtraBold-bold.ttf"/><Relationship Id="rId6" Type="http://schemas.openxmlformats.org/officeDocument/2006/relationships/font" Target="fonts/RalewayExtraBol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