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38D3D" w14:textId="77777777" w:rsidR="00F074FA" w:rsidRDefault="00000000">
      <w:pPr>
        <w:pStyle w:val="Heading1"/>
        <w:rPr>
          <w:rFonts w:ascii="Merriweather" w:eastAsia="Merriweather" w:hAnsi="Merriweather" w:cs="Merriweather"/>
          <w:sz w:val="38"/>
          <w:szCs w:val="38"/>
        </w:rPr>
      </w:pPr>
      <w:bookmarkStart w:id="0" w:name="_y38udodi2kok" w:colFirst="0" w:colLast="0"/>
      <w:bookmarkEnd w:id="0"/>
      <w:r>
        <w:rPr>
          <w:rFonts w:ascii="Merriweather" w:eastAsia="Merriweather" w:hAnsi="Merriweather" w:cs="Merriweather"/>
          <w:color w:val="1C4587"/>
          <w:sz w:val="38"/>
          <w:szCs w:val="38"/>
        </w:rPr>
        <w:t xml:space="preserve">Freshwater V2 Public Consultation Questions </w:t>
      </w:r>
    </w:p>
    <w:p w14:paraId="50FE3679" w14:textId="77777777" w:rsidR="00F074FA" w:rsidRDefault="00000000">
      <w:pPr>
        <w:pStyle w:val="Heading2"/>
        <w:rPr>
          <w:rFonts w:ascii="Merriweather" w:eastAsia="Merriweather" w:hAnsi="Merriweather" w:cs="Merriweather"/>
          <w:sz w:val="30"/>
          <w:szCs w:val="30"/>
        </w:rPr>
      </w:pPr>
      <w:bookmarkStart w:id="1" w:name="_8qzulggnwq26" w:colFirst="0" w:colLast="0"/>
      <w:bookmarkEnd w:id="1"/>
      <w:r>
        <w:rPr>
          <w:rFonts w:ascii="Merriweather" w:eastAsia="Merriweather" w:hAnsi="Merriweather" w:cs="Merriweather"/>
          <w:sz w:val="30"/>
          <w:szCs w:val="30"/>
        </w:rPr>
        <w:t>Introduction</w:t>
      </w:r>
    </w:p>
    <w:p w14:paraId="437CAD94" w14:textId="77777777" w:rsidR="00F074FA" w:rsidRDefault="00000000">
      <w:pPr>
        <w:shd w:val="clear" w:color="auto" w:fill="FFFFFF"/>
        <w:spacing w:before="200" w:after="200"/>
        <w:rPr>
          <w:rFonts w:ascii="Merriweather" w:eastAsia="Merriweather" w:hAnsi="Merriweather" w:cs="Merriweather"/>
          <w:color w:val="202124"/>
          <w:sz w:val="20"/>
          <w:szCs w:val="20"/>
        </w:rPr>
      </w:pPr>
      <w:r>
        <w:rPr>
          <w:rFonts w:ascii="Merriweather" w:eastAsia="Merriweather" w:hAnsi="Merriweather" w:cs="Merriweather"/>
          <w:color w:val="202124"/>
          <w:sz w:val="20"/>
          <w:szCs w:val="20"/>
        </w:rPr>
        <w:t>Dear Stakeholders,</w:t>
      </w:r>
    </w:p>
    <w:p w14:paraId="211BD6A4" w14:textId="77777777" w:rsidR="00F074FA" w:rsidRDefault="00000000">
      <w:pPr>
        <w:shd w:val="clear" w:color="auto" w:fill="FFFFFF"/>
        <w:spacing w:before="200" w:after="200"/>
        <w:rPr>
          <w:rFonts w:ascii="Merriweather" w:eastAsia="Merriweather" w:hAnsi="Merriweather" w:cs="Merriweather"/>
          <w:b/>
          <w:color w:val="202124"/>
          <w:sz w:val="20"/>
          <w:szCs w:val="20"/>
        </w:rPr>
      </w:pPr>
      <w:r>
        <w:rPr>
          <w:rFonts w:ascii="Merriweather" w:eastAsia="Merriweather" w:hAnsi="Merriweather" w:cs="Merriweather"/>
          <w:color w:val="202124"/>
          <w:sz w:val="20"/>
          <w:szCs w:val="20"/>
        </w:rPr>
        <w:t xml:space="preserve">You are invited to join the public consultation on SBTN’s draft Version 2 Freshwater Technical Guidance and the Basin Threshold Tool V0.1. This form is designed to gather your feedback and insights on various aspects of the new guidance. Your contributions will play a crucial role in refining and finalizing the guidance. We welcome contributions from all people and organizations who have an interest in helping to shape and improve SBTN's guidance for setting science-based targets for Freshwater. </w:t>
      </w:r>
      <w:r>
        <w:rPr>
          <w:rFonts w:ascii="Merriweather" w:eastAsia="Merriweather" w:hAnsi="Merriweather" w:cs="Merriweather"/>
          <w:b/>
          <w:color w:val="202124"/>
          <w:sz w:val="20"/>
          <w:szCs w:val="20"/>
        </w:rPr>
        <w:t>The consultation will remain open until October 9, 2025.</w:t>
      </w:r>
    </w:p>
    <w:p w14:paraId="44061D2E" w14:textId="77777777" w:rsidR="00F074FA" w:rsidRDefault="00000000">
      <w:pPr>
        <w:shd w:val="clear" w:color="auto" w:fill="FFFFFF"/>
        <w:spacing w:before="200" w:after="200"/>
        <w:rPr>
          <w:rFonts w:ascii="Merriweather" w:eastAsia="Merriweather" w:hAnsi="Merriweather" w:cs="Merriweather"/>
          <w:b/>
          <w:color w:val="202124"/>
          <w:sz w:val="20"/>
          <w:szCs w:val="20"/>
        </w:rPr>
      </w:pPr>
      <w:r>
        <w:rPr>
          <w:rFonts w:ascii="Merriweather" w:eastAsia="Merriweather" w:hAnsi="Merriweather" w:cs="Merriweather"/>
          <w:b/>
          <w:color w:val="202124"/>
          <w:sz w:val="20"/>
          <w:szCs w:val="20"/>
        </w:rPr>
        <w:t>What to expect from the survey</w:t>
      </w:r>
    </w:p>
    <w:p w14:paraId="399A521E" w14:textId="77777777" w:rsidR="00F074FA" w:rsidRDefault="00000000">
      <w:pPr>
        <w:shd w:val="clear" w:color="auto" w:fill="FFFFFF"/>
        <w:spacing w:before="200" w:after="200"/>
        <w:rPr>
          <w:rFonts w:ascii="Merriweather" w:eastAsia="Merriweather" w:hAnsi="Merriweather" w:cs="Merriweather"/>
          <w:color w:val="202124"/>
          <w:sz w:val="20"/>
          <w:szCs w:val="20"/>
        </w:rPr>
      </w:pPr>
      <w:r>
        <w:rPr>
          <w:rFonts w:ascii="Merriweather" w:eastAsia="Merriweather" w:hAnsi="Merriweather" w:cs="Merriweather"/>
          <w:color w:val="202124"/>
          <w:sz w:val="20"/>
          <w:szCs w:val="20"/>
        </w:rPr>
        <w:t>The form has 6 sections. A Word document of all the questions is available to download on the SBTN website if you want to look through the whole survey in advance to prepare your answers.</w:t>
      </w:r>
    </w:p>
    <w:p w14:paraId="704D0BA8" w14:textId="77777777" w:rsidR="00F074FA" w:rsidRDefault="00000000">
      <w:pPr>
        <w:shd w:val="clear" w:color="auto" w:fill="FFFFFF"/>
        <w:spacing w:before="200" w:after="200"/>
        <w:rPr>
          <w:rFonts w:ascii="Merriweather" w:eastAsia="Merriweather" w:hAnsi="Merriweather" w:cs="Merriweather"/>
          <w:color w:val="202124"/>
          <w:sz w:val="20"/>
          <w:szCs w:val="20"/>
        </w:rPr>
      </w:pPr>
      <w:r>
        <w:rPr>
          <w:rFonts w:ascii="Merriweather" w:eastAsia="Merriweather" w:hAnsi="Merriweather" w:cs="Merriweather"/>
          <w:color w:val="202124"/>
          <w:sz w:val="20"/>
          <w:szCs w:val="20"/>
        </w:rPr>
        <w:t xml:space="preserve">We encourage reviewers to complete this survey after reading through all the </w:t>
      </w:r>
      <w:hyperlink r:id="rId7" w:anchor="resources">
        <w:r>
          <w:rPr>
            <w:rFonts w:ascii="Merriweather" w:eastAsia="Merriweather" w:hAnsi="Merriweather" w:cs="Merriweather"/>
            <w:color w:val="1155CC"/>
            <w:sz w:val="20"/>
            <w:szCs w:val="20"/>
            <w:u w:val="single"/>
          </w:rPr>
          <w:t>public consultation materials</w:t>
        </w:r>
      </w:hyperlink>
      <w:r>
        <w:rPr>
          <w:rFonts w:ascii="Merriweather" w:eastAsia="Merriweather" w:hAnsi="Merriweather" w:cs="Merriweather"/>
          <w:color w:val="202124"/>
          <w:sz w:val="20"/>
          <w:szCs w:val="20"/>
        </w:rPr>
        <w:t xml:space="preserve">, including the draft guidance on groundwater (with accompanying slides/video), draft guidance on toxic chemicals, and basin threshold tool report and excel sheets. </w:t>
      </w:r>
    </w:p>
    <w:p w14:paraId="56C5262A" w14:textId="77777777" w:rsidR="00F074FA" w:rsidRDefault="00000000">
      <w:pPr>
        <w:shd w:val="clear" w:color="auto" w:fill="FFFFFF"/>
        <w:spacing w:before="200" w:after="200"/>
        <w:rPr>
          <w:rFonts w:ascii="Merriweather" w:eastAsia="Merriweather" w:hAnsi="Merriweather" w:cs="Merriweather"/>
          <w:color w:val="202124"/>
          <w:sz w:val="20"/>
          <w:szCs w:val="20"/>
        </w:rPr>
      </w:pPr>
      <w:r>
        <w:rPr>
          <w:rFonts w:ascii="Merriweather" w:eastAsia="Merriweather" w:hAnsi="Merriweather" w:cs="Merriweather"/>
          <w:color w:val="202124"/>
          <w:sz w:val="20"/>
          <w:szCs w:val="20"/>
        </w:rPr>
        <w:t>However, you are not required to provide responses to every question of the survey and may skip to questions or sections of most importance for you or your organization. When making comments on specific text or graphical elements in the SBTN materials, please reference the specific document page(s) so SBTN can locate the text that your comment relates to.</w:t>
      </w:r>
    </w:p>
    <w:p w14:paraId="6455F618" w14:textId="77777777" w:rsidR="00F074FA" w:rsidRDefault="00000000">
      <w:pPr>
        <w:shd w:val="clear" w:color="auto" w:fill="FFFFFF"/>
        <w:spacing w:before="200" w:after="200"/>
        <w:rPr>
          <w:rFonts w:ascii="Merriweather" w:eastAsia="Merriweather" w:hAnsi="Merriweather" w:cs="Merriweather"/>
          <w:color w:val="202124"/>
          <w:sz w:val="20"/>
          <w:szCs w:val="20"/>
        </w:rPr>
      </w:pPr>
      <w:r>
        <w:rPr>
          <w:rFonts w:ascii="Merriweather" w:eastAsia="Merriweather" w:hAnsi="Merriweather" w:cs="Merriweather"/>
          <w:color w:val="202124"/>
          <w:sz w:val="20"/>
          <w:szCs w:val="20"/>
        </w:rPr>
        <w:t xml:space="preserve">Respondents are encouraged to provide their own original inputs to the survey. While we recognize that AI tools may be used for translations or refinements, SBTN reserves the right to exclude submissions that it deems to be entirely AI- or bot-generated from analysis. </w:t>
      </w:r>
    </w:p>
    <w:p w14:paraId="50CED295" w14:textId="77777777" w:rsidR="00F074FA" w:rsidRDefault="00000000">
      <w:pPr>
        <w:shd w:val="clear" w:color="auto" w:fill="FFFFFF"/>
        <w:spacing w:before="200" w:after="200"/>
        <w:rPr>
          <w:rFonts w:ascii="Merriweather" w:eastAsia="Merriweather" w:hAnsi="Merriweather" w:cs="Merriweather"/>
          <w:color w:val="202124"/>
          <w:sz w:val="20"/>
          <w:szCs w:val="20"/>
        </w:rPr>
      </w:pPr>
      <w:r>
        <w:rPr>
          <w:rFonts w:ascii="Merriweather" w:eastAsia="Merriweather" w:hAnsi="Merriweather" w:cs="Merriweather"/>
          <w:color w:val="202124"/>
          <w:sz w:val="20"/>
          <w:szCs w:val="20"/>
        </w:rPr>
        <w:t xml:space="preserve">Please note that feedback submitted outside the official consultation channels and submissions that are unclear may be excluded from the analysis. </w:t>
      </w:r>
    </w:p>
    <w:p w14:paraId="29716C22" w14:textId="77777777" w:rsidR="00F074FA" w:rsidRDefault="00000000">
      <w:pPr>
        <w:shd w:val="clear" w:color="auto" w:fill="FFFFFF"/>
        <w:rPr>
          <w:rFonts w:ascii="Merriweather" w:eastAsia="Merriweather" w:hAnsi="Merriweather" w:cs="Merriweather"/>
          <w:color w:val="202124"/>
          <w:sz w:val="20"/>
          <w:szCs w:val="20"/>
        </w:rPr>
      </w:pPr>
      <w:r>
        <w:rPr>
          <w:rFonts w:ascii="Merriweather" w:eastAsia="Merriweather" w:hAnsi="Merriweather" w:cs="Merriweather"/>
          <w:color w:val="202124"/>
          <w:sz w:val="20"/>
          <w:szCs w:val="20"/>
          <w:highlight w:val="white"/>
        </w:rPr>
        <w:t xml:space="preserve">The initial survey section requests contact information that is being collected to aid SBTN in analyzing the feedback. Please note that all submitted information and data will be treated with respect for your privacy in compliance with SBTN’s </w:t>
      </w:r>
      <w:hyperlink r:id="rId8">
        <w:r>
          <w:rPr>
            <w:rFonts w:ascii="Merriweather" w:eastAsia="Merriweather" w:hAnsi="Merriweather" w:cs="Merriweather"/>
            <w:color w:val="1155CC"/>
            <w:sz w:val="20"/>
            <w:szCs w:val="20"/>
            <w:highlight w:val="white"/>
            <w:u w:val="single"/>
          </w:rPr>
          <w:t>privacy policy</w:t>
        </w:r>
      </w:hyperlink>
      <w:r>
        <w:rPr>
          <w:rFonts w:ascii="Merriweather" w:eastAsia="Merriweather" w:hAnsi="Merriweather" w:cs="Merriweather"/>
          <w:color w:val="202124"/>
          <w:sz w:val="20"/>
          <w:szCs w:val="20"/>
          <w:highlight w:val="white"/>
        </w:rPr>
        <w:t xml:space="preserve"> and applicable laws and regulations. All information collected in this public consultation will be anonymized to protect </w:t>
      </w:r>
      <w:r>
        <w:rPr>
          <w:rFonts w:ascii="Merriweather" w:eastAsia="Merriweather" w:hAnsi="Merriweather" w:cs="Merriweather"/>
          <w:color w:val="202124"/>
          <w:sz w:val="20"/>
          <w:szCs w:val="20"/>
          <w:highlight w:val="white"/>
        </w:rPr>
        <w:lastRenderedPageBreak/>
        <w:t xml:space="preserve">each reviewer's identity. No names or other identifying information will be used when reporting data. SBTN greatly appreciates your time, expertise, and perspectives. </w:t>
      </w:r>
    </w:p>
    <w:p w14:paraId="7F4E0B32" w14:textId="77777777" w:rsidR="00F074FA" w:rsidRDefault="00000000">
      <w:pPr>
        <w:shd w:val="clear" w:color="auto" w:fill="FFFFFF"/>
        <w:rPr>
          <w:rFonts w:ascii="Merriweather" w:eastAsia="Merriweather" w:hAnsi="Merriweather" w:cs="Merriweather"/>
          <w:color w:val="202124"/>
          <w:sz w:val="20"/>
          <w:szCs w:val="20"/>
        </w:rPr>
      </w:pPr>
      <w:r>
        <w:rPr>
          <w:rFonts w:ascii="Merriweather" w:eastAsia="Merriweather" w:hAnsi="Merriweather" w:cs="Merriweather"/>
          <w:color w:val="202124"/>
          <w:sz w:val="20"/>
          <w:szCs w:val="20"/>
        </w:rPr>
        <w:t xml:space="preserve">If you have any questions or issues accessing this survey, please reach out to SBTN at </w:t>
      </w:r>
      <w:hyperlink r:id="rId9">
        <w:r>
          <w:rPr>
            <w:rFonts w:ascii="Merriweather" w:eastAsia="Merriweather" w:hAnsi="Merriweather" w:cs="Merriweather"/>
            <w:color w:val="1155CC"/>
            <w:sz w:val="20"/>
            <w:szCs w:val="20"/>
            <w:u w:val="single"/>
          </w:rPr>
          <w:t>https://sciencebasedtargetsnetwork.org/contact/</w:t>
        </w:r>
      </w:hyperlink>
      <w:r>
        <w:rPr>
          <w:rFonts w:ascii="Merriweather" w:eastAsia="Merriweather" w:hAnsi="Merriweather" w:cs="Merriweather"/>
          <w:color w:val="202124"/>
          <w:sz w:val="20"/>
          <w:szCs w:val="20"/>
        </w:rPr>
        <w:t>.</w:t>
      </w:r>
    </w:p>
    <w:p w14:paraId="70107BDD" w14:textId="77777777" w:rsidR="00F074FA" w:rsidRDefault="00000000">
      <w:pPr>
        <w:pStyle w:val="Heading2"/>
        <w:rPr>
          <w:rFonts w:ascii="Merriweather" w:eastAsia="Merriweather" w:hAnsi="Merriweather" w:cs="Merriweather"/>
          <w:sz w:val="30"/>
          <w:szCs w:val="30"/>
        </w:rPr>
      </w:pPr>
      <w:bookmarkStart w:id="2" w:name="_cwiuqunj2w9c" w:colFirst="0" w:colLast="0"/>
      <w:bookmarkEnd w:id="2"/>
      <w:r>
        <w:rPr>
          <w:rFonts w:ascii="Merriweather" w:eastAsia="Merriweather" w:hAnsi="Merriweather" w:cs="Merriweather"/>
          <w:sz w:val="30"/>
          <w:szCs w:val="30"/>
        </w:rPr>
        <w:t xml:space="preserve">Section 1: About you/your organization </w:t>
      </w:r>
    </w:p>
    <w:p w14:paraId="436CD37B" w14:textId="77777777" w:rsidR="00F074FA" w:rsidRDefault="00000000">
      <w:pPr>
        <w:numPr>
          <w:ilvl w:val="0"/>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First Name*</w:t>
      </w:r>
    </w:p>
    <w:p w14:paraId="40F9FBD0" w14:textId="77777777" w:rsidR="00F074FA" w:rsidRDefault="00000000">
      <w:pPr>
        <w:numPr>
          <w:ilvl w:val="0"/>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Last Name*</w:t>
      </w:r>
    </w:p>
    <w:p w14:paraId="513E2424" w14:textId="77777777" w:rsidR="00F074FA" w:rsidRDefault="00000000">
      <w:pPr>
        <w:numPr>
          <w:ilvl w:val="0"/>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Email*</w:t>
      </w:r>
    </w:p>
    <w:p w14:paraId="57FD6127" w14:textId="77777777" w:rsidR="00F074FA" w:rsidRDefault="00000000">
      <w:pPr>
        <w:numPr>
          <w:ilvl w:val="0"/>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Confirm Email*</w:t>
      </w:r>
    </w:p>
    <w:p w14:paraId="2E84FA79" w14:textId="77777777" w:rsidR="00F074FA" w:rsidRDefault="00000000">
      <w:pPr>
        <w:numPr>
          <w:ilvl w:val="0"/>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Organization Name* (if responding as an individual, please put ‘individual’)</w:t>
      </w:r>
    </w:p>
    <w:p w14:paraId="3E89BD9D" w14:textId="77777777" w:rsidR="00F074FA" w:rsidRDefault="00000000">
      <w:pPr>
        <w:numPr>
          <w:ilvl w:val="0"/>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 xml:space="preserve">Type of organization </w:t>
      </w:r>
    </w:p>
    <w:p w14:paraId="453BF8B7" w14:textId="77777777" w:rsidR="00F074FA" w:rsidRDefault="00000000">
      <w:pPr>
        <w:numPr>
          <w:ilvl w:val="0"/>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Sector</w:t>
      </w:r>
    </w:p>
    <w:p w14:paraId="28C165AA" w14:textId="77777777" w:rsidR="00F074FA" w:rsidRDefault="00000000">
      <w:pPr>
        <w:numPr>
          <w:ilvl w:val="0"/>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What country is your organization headquartered in? If you are responding in a personal capacity please provide the country where you are based.*</w:t>
      </w:r>
    </w:p>
    <w:p w14:paraId="1E65F4CA" w14:textId="77777777" w:rsidR="00F074FA" w:rsidRDefault="00000000">
      <w:pPr>
        <w:numPr>
          <w:ilvl w:val="0"/>
          <w:numId w:val="11"/>
        </w:numPr>
        <w:spacing w:after="200"/>
        <w:rPr>
          <w:rFonts w:ascii="Merriweather" w:eastAsia="Merriweather" w:hAnsi="Merriweather" w:cs="Merriweather"/>
        </w:rPr>
      </w:pPr>
      <w:r>
        <w:rPr>
          <w:rFonts w:ascii="Merriweather" w:eastAsia="Merriweather" w:hAnsi="Merriweather" w:cs="Merriweather"/>
          <w:color w:val="202124"/>
          <w:shd w:val="clear" w:color="auto" w:fill="F8F9FA"/>
        </w:rPr>
        <w:t>In which regions does your organization have significant operations or value chain activities?</w:t>
      </w:r>
      <w:r>
        <w:rPr>
          <w:rFonts w:ascii="Merriweather" w:eastAsia="Merriweather" w:hAnsi="Merriweather" w:cs="Merriweather"/>
          <w:sz w:val="20"/>
          <w:szCs w:val="20"/>
        </w:rPr>
        <w:t xml:space="preserve"> </w:t>
      </w:r>
    </w:p>
    <w:p w14:paraId="486CAE8B" w14:textId="77777777" w:rsidR="00F074FA" w:rsidRDefault="00000000">
      <w:pPr>
        <w:numPr>
          <w:ilvl w:val="0"/>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Are you responding to this survey based on your experience and understanding of *</w:t>
      </w:r>
    </w:p>
    <w:p w14:paraId="0C70D714" w14:textId="77777777" w:rsidR="00F074FA" w:rsidRDefault="00000000">
      <w:pPr>
        <w:numPr>
          <w:ilvl w:val="1"/>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Your own organization</w:t>
      </w:r>
    </w:p>
    <w:p w14:paraId="5FF7BFCE" w14:textId="77777777" w:rsidR="00F074FA" w:rsidRDefault="00000000">
      <w:pPr>
        <w:numPr>
          <w:ilvl w:val="1"/>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 xml:space="preserve">A specific client </w:t>
      </w:r>
    </w:p>
    <w:p w14:paraId="3E861BC0" w14:textId="77777777" w:rsidR="00F074FA" w:rsidRDefault="00000000">
      <w:pPr>
        <w:numPr>
          <w:ilvl w:val="1"/>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Your experience with a range of organizations</w:t>
      </w:r>
    </w:p>
    <w:p w14:paraId="39E36D64" w14:textId="77777777" w:rsidR="00F074FA" w:rsidRDefault="00000000">
      <w:pPr>
        <w:numPr>
          <w:ilvl w:val="1"/>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Other</w:t>
      </w:r>
    </w:p>
    <w:p w14:paraId="64E86A98" w14:textId="77777777" w:rsidR="00F074FA" w:rsidRDefault="00000000">
      <w:pPr>
        <w:numPr>
          <w:ilvl w:val="0"/>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 xml:space="preserve">What is your company’s annual turnover (revenue) </w:t>
      </w:r>
    </w:p>
    <w:p w14:paraId="434E3E2F" w14:textId="77777777" w:rsidR="00F074FA" w:rsidRDefault="00000000">
      <w:pPr>
        <w:numPr>
          <w:ilvl w:val="1"/>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 xml:space="preserve">Less than 1 million </w:t>
      </w:r>
    </w:p>
    <w:p w14:paraId="2BB4594F" w14:textId="77777777" w:rsidR="00F074FA" w:rsidRDefault="00000000">
      <w:pPr>
        <w:numPr>
          <w:ilvl w:val="1"/>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1-49 million</w:t>
      </w:r>
    </w:p>
    <w:p w14:paraId="40D2E312" w14:textId="77777777" w:rsidR="00F074FA" w:rsidRDefault="00000000">
      <w:pPr>
        <w:numPr>
          <w:ilvl w:val="1"/>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50-450 million</w:t>
      </w:r>
    </w:p>
    <w:p w14:paraId="755E0C4B" w14:textId="77777777" w:rsidR="00F074FA" w:rsidRDefault="00000000">
      <w:pPr>
        <w:numPr>
          <w:ilvl w:val="1"/>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 xml:space="preserve">Over 450 million </w:t>
      </w:r>
    </w:p>
    <w:p w14:paraId="340A8285" w14:textId="77777777" w:rsidR="00F074FA" w:rsidRDefault="00000000">
      <w:pPr>
        <w:numPr>
          <w:ilvl w:val="0"/>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Primary currency (list of currencies)</w:t>
      </w:r>
    </w:p>
    <w:p w14:paraId="123E0A1A" w14:textId="77777777" w:rsidR="00F074FA" w:rsidRDefault="00000000">
      <w:pPr>
        <w:numPr>
          <w:ilvl w:val="0"/>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lastRenderedPageBreak/>
        <w:t xml:space="preserve">Please select the range that best represents your organization’s total number of full-time employees </w:t>
      </w:r>
    </w:p>
    <w:p w14:paraId="71163C7E" w14:textId="77777777" w:rsidR="00F074FA" w:rsidRDefault="00000000">
      <w:pPr>
        <w:numPr>
          <w:ilvl w:val="1"/>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1-50 employees</w:t>
      </w:r>
    </w:p>
    <w:p w14:paraId="7D1B9EB0" w14:textId="77777777" w:rsidR="00F074FA" w:rsidRDefault="00000000">
      <w:pPr>
        <w:numPr>
          <w:ilvl w:val="1"/>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51–250 employees</w:t>
      </w:r>
    </w:p>
    <w:p w14:paraId="27A3BBF4" w14:textId="77777777" w:rsidR="00F074FA" w:rsidRDefault="00000000">
      <w:pPr>
        <w:numPr>
          <w:ilvl w:val="1"/>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251-1000 employees</w:t>
      </w:r>
    </w:p>
    <w:p w14:paraId="4F6E366A" w14:textId="77777777" w:rsidR="00F074FA" w:rsidRDefault="00000000">
      <w:pPr>
        <w:numPr>
          <w:ilvl w:val="1"/>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Over 10,000 employees</w:t>
      </w:r>
    </w:p>
    <w:p w14:paraId="522A51E1" w14:textId="77777777" w:rsidR="00F074FA" w:rsidRDefault="00000000">
      <w:pPr>
        <w:numPr>
          <w:ilvl w:val="0"/>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Has your organization validated any science-based targets? (y/n/na)*</w:t>
      </w:r>
    </w:p>
    <w:p w14:paraId="3C94089E" w14:textId="77777777" w:rsidR="00F074FA" w:rsidRDefault="00000000">
      <w:pPr>
        <w:numPr>
          <w:ilvl w:val="0"/>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Is your organization in the process of setting science-based targets for nature?*(y/n/unsure/na)</w:t>
      </w:r>
    </w:p>
    <w:p w14:paraId="161B741C" w14:textId="77777777" w:rsidR="00F074FA" w:rsidRDefault="00000000">
      <w:pPr>
        <w:numPr>
          <w:ilvl w:val="0"/>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Which stage of the target-setting process are you at now? (Step 1, Step 2, Step 3) Please briefly describe.</w:t>
      </w:r>
    </w:p>
    <w:p w14:paraId="3642206D" w14:textId="77777777" w:rsidR="00F074FA" w:rsidRDefault="00000000">
      <w:pPr>
        <w:numPr>
          <w:ilvl w:val="0"/>
          <w:numId w:val="11"/>
        </w:numPr>
        <w:spacing w:after="200"/>
        <w:rPr>
          <w:rFonts w:ascii="Merriweather" w:eastAsia="Merriweather" w:hAnsi="Merriweather" w:cs="Merriweather"/>
          <w:sz w:val="20"/>
          <w:szCs w:val="20"/>
        </w:rPr>
      </w:pPr>
      <w:r>
        <w:rPr>
          <w:rFonts w:ascii="Merriweather" w:eastAsia="Merriweather" w:hAnsi="Merriweather" w:cs="Merriweather"/>
          <w:sz w:val="20"/>
          <w:szCs w:val="20"/>
        </w:rPr>
        <w:t>Which SBTN targets are your organization planning to set? (Land, Freshwater, Ocean)</w:t>
      </w:r>
    </w:p>
    <w:p w14:paraId="21E2CFAA" w14:textId="77777777" w:rsidR="00F074FA" w:rsidRDefault="00000000">
      <w:pPr>
        <w:pStyle w:val="Heading2"/>
        <w:rPr>
          <w:rFonts w:ascii="Merriweather" w:eastAsia="Merriweather" w:hAnsi="Merriweather" w:cs="Merriweather"/>
          <w:sz w:val="30"/>
          <w:szCs w:val="30"/>
        </w:rPr>
      </w:pPr>
      <w:bookmarkStart w:id="3" w:name="_ij90b9fnv9la" w:colFirst="0" w:colLast="0"/>
      <w:bookmarkEnd w:id="3"/>
      <w:r>
        <w:rPr>
          <w:rFonts w:ascii="Merriweather" w:eastAsia="Merriweather" w:hAnsi="Merriweather" w:cs="Merriweather"/>
          <w:sz w:val="30"/>
          <w:szCs w:val="30"/>
        </w:rPr>
        <w:t xml:space="preserve">Section 2: Version 2 Target Setting Technical Guidance </w:t>
      </w:r>
    </w:p>
    <w:p w14:paraId="62CB22C7" w14:textId="618918C2" w:rsidR="00E95A72" w:rsidRPr="00E95A72" w:rsidRDefault="00E95A72" w:rsidP="00E95A72">
      <w:pPr>
        <w:numPr>
          <w:ilvl w:val="0"/>
          <w:numId w:val="5"/>
        </w:numPr>
        <w:spacing w:after="200"/>
        <w:rPr>
          <w:rFonts w:ascii="Merriweather" w:eastAsia="Merriweather" w:hAnsi="Merriweather" w:cs="Merriweather"/>
          <w:sz w:val="20"/>
          <w:szCs w:val="20"/>
        </w:rPr>
      </w:pPr>
      <w:r w:rsidRPr="00E95A72">
        <w:rPr>
          <w:rFonts w:ascii="Merriweather" w:eastAsia="Merriweather" w:hAnsi="Merriweather" w:cs="Merriweather"/>
          <w:sz w:val="20"/>
          <w:szCs w:val="20"/>
        </w:rPr>
        <w:t xml:space="preserve">Which public consultation resources have you reviewed to inform your participation? Please check all that apply. </w:t>
      </w:r>
    </w:p>
    <w:p w14:paraId="26021A4A" w14:textId="77777777" w:rsidR="00E95A72" w:rsidRPr="00E95A72" w:rsidRDefault="00E95A72" w:rsidP="00E95A72">
      <w:pPr>
        <w:numPr>
          <w:ilvl w:val="1"/>
          <w:numId w:val="5"/>
        </w:numPr>
        <w:spacing w:after="200"/>
        <w:rPr>
          <w:rFonts w:ascii="Merriweather" w:eastAsia="Merriweather" w:hAnsi="Merriweather" w:cs="Merriweather"/>
          <w:sz w:val="20"/>
          <w:szCs w:val="20"/>
        </w:rPr>
      </w:pPr>
      <w:r w:rsidRPr="00E95A72">
        <w:rPr>
          <w:rFonts w:ascii="Merriweather" w:eastAsia="Merriweather" w:hAnsi="Merriweather" w:cs="Merriweather"/>
          <w:sz w:val="20"/>
          <w:szCs w:val="20"/>
        </w:rPr>
        <w:t>Groundwater - Draft Technical Guidance</w:t>
      </w:r>
    </w:p>
    <w:p w14:paraId="39B7553C" w14:textId="77777777" w:rsidR="00E95A72" w:rsidRPr="00E95A72" w:rsidRDefault="00E95A72" w:rsidP="00E95A72">
      <w:pPr>
        <w:numPr>
          <w:ilvl w:val="1"/>
          <w:numId w:val="5"/>
        </w:numPr>
        <w:spacing w:after="200"/>
        <w:rPr>
          <w:rFonts w:ascii="Merriweather" w:eastAsia="Merriweather" w:hAnsi="Merriweather" w:cs="Merriweather"/>
          <w:sz w:val="20"/>
          <w:szCs w:val="20"/>
        </w:rPr>
      </w:pPr>
      <w:r w:rsidRPr="00E95A72">
        <w:rPr>
          <w:rFonts w:ascii="Merriweather" w:eastAsia="Merriweather" w:hAnsi="Merriweather" w:cs="Merriweather"/>
          <w:sz w:val="20"/>
          <w:szCs w:val="20"/>
        </w:rPr>
        <w:t>Groundwater - Explainer video</w:t>
      </w:r>
    </w:p>
    <w:p w14:paraId="494DBC28" w14:textId="77777777" w:rsidR="00E95A72" w:rsidRPr="00E95A72" w:rsidRDefault="00E95A72" w:rsidP="00E95A72">
      <w:pPr>
        <w:numPr>
          <w:ilvl w:val="1"/>
          <w:numId w:val="5"/>
        </w:numPr>
        <w:spacing w:after="200"/>
        <w:rPr>
          <w:rFonts w:ascii="Merriweather" w:eastAsia="Merriweather" w:hAnsi="Merriweather" w:cs="Merriweather"/>
          <w:sz w:val="20"/>
          <w:szCs w:val="20"/>
        </w:rPr>
      </w:pPr>
      <w:r w:rsidRPr="00E95A72">
        <w:rPr>
          <w:rFonts w:ascii="Merriweather" w:eastAsia="Merriweather" w:hAnsi="Merriweather" w:cs="Merriweather"/>
          <w:sz w:val="20"/>
          <w:szCs w:val="20"/>
        </w:rPr>
        <w:t>Toxic Chemicals - Draft Technical Guidance</w:t>
      </w:r>
    </w:p>
    <w:p w14:paraId="463830CF" w14:textId="77777777" w:rsidR="00E95A72" w:rsidRPr="00E95A72" w:rsidRDefault="00E95A72" w:rsidP="00E95A72">
      <w:pPr>
        <w:numPr>
          <w:ilvl w:val="1"/>
          <w:numId w:val="5"/>
        </w:numPr>
        <w:spacing w:after="200"/>
        <w:rPr>
          <w:rFonts w:ascii="Merriweather" w:eastAsia="Merriweather" w:hAnsi="Merriweather" w:cs="Merriweather"/>
          <w:sz w:val="20"/>
          <w:szCs w:val="20"/>
        </w:rPr>
      </w:pPr>
      <w:r w:rsidRPr="00E95A72">
        <w:rPr>
          <w:rFonts w:ascii="Merriweather" w:eastAsia="Merriweather" w:hAnsi="Merriweather" w:cs="Merriweather"/>
          <w:sz w:val="20"/>
          <w:szCs w:val="20"/>
        </w:rPr>
        <w:t>Basin Threshold Tool V0.1 - Framework Report</w:t>
      </w:r>
    </w:p>
    <w:p w14:paraId="74B54CB6" w14:textId="77777777" w:rsidR="00E95A72" w:rsidRPr="00E95A72" w:rsidRDefault="00E95A72" w:rsidP="00E95A72">
      <w:pPr>
        <w:numPr>
          <w:ilvl w:val="1"/>
          <w:numId w:val="5"/>
        </w:numPr>
        <w:spacing w:after="200"/>
        <w:rPr>
          <w:rFonts w:ascii="Merriweather" w:eastAsia="Merriweather" w:hAnsi="Merriweather" w:cs="Merriweather"/>
          <w:sz w:val="20"/>
          <w:szCs w:val="20"/>
        </w:rPr>
      </w:pPr>
      <w:r w:rsidRPr="00E95A72">
        <w:rPr>
          <w:rFonts w:ascii="Merriweather" w:eastAsia="Merriweather" w:hAnsi="Merriweather" w:cs="Merriweather"/>
          <w:sz w:val="20"/>
          <w:szCs w:val="20"/>
        </w:rPr>
        <w:t>Basin Threshold Tool  V0.1 - Upper Mississippi River Resources</w:t>
      </w:r>
    </w:p>
    <w:p w14:paraId="6A4CE850" w14:textId="77777777" w:rsidR="00E95A72" w:rsidRPr="00E95A72" w:rsidRDefault="00E95A72" w:rsidP="00E95A72">
      <w:pPr>
        <w:numPr>
          <w:ilvl w:val="1"/>
          <w:numId w:val="5"/>
        </w:numPr>
        <w:spacing w:after="200"/>
        <w:rPr>
          <w:rFonts w:ascii="Merriweather" w:eastAsia="Merriweather" w:hAnsi="Merriweather" w:cs="Merriweather"/>
          <w:sz w:val="20"/>
          <w:szCs w:val="20"/>
        </w:rPr>
      </w:pPr>
      <w:r w:rsidRPr="00E95A72">
        <w:rPr>
          <w:rFonts w:ascii="Merriweather" w:eastAsia="Merriweather" w:hAnsi="Merriweather" w:cs="Merriweather"/>
          <w:sz w:val="20"/>
          <w:szCs w:val="20"/>
        </w:rPr>
        <w:t>Basin Threshold Tool V0.1 - Database Structure</w:t>
      </w:r>
    </w:p>
    <w:p w14:paraId="4587B52E" w14:textId="23792B31" w:rsidR="00E95A72" w:rsidRDefault="00E95A72" w:rsidP="00E95A72">
      <w:pPr>
        <w:numPr>
          <w:ilvl w:val="1"/>
          <w:numId w:val="5"/>
        </w:numPr>
        <w:spacing w:after="200"/>
        <w:rPr>
          <w:rFonts w:ascii="Merriweather" w:eastAsia="Merriweather" w:hAnsi="Merriweather" w:cs="Merriweather"/>
          <w:sz w:val="20"/>
          <w:szCs w:val="20"/>
        </w:rPr>
      </w:pPr>
      <w:r w:rsidRPr="00E95A72">
        <w:rPr>
          <w:rFonts w:ascii="Merriweather" w:eastAsia="Merriweather" w:hAnsi="Merriweather" w:cs="Merriweather"/>
          <w:sz w:val="20"/>
          <w:szCs w:val="20"/>
        </w:rPr>
        <w:t>Basin Threshold Tool - V.alpha</w:t>
      </w:r>
    </w:p>
    <w:p w14:paraId="15456CF9" w14:textId="5096D574" w:rsidR="00F074FA" w:rsidRDefault="00000000">
      <w:pPr>
        <w:numPr>
          <w:ilvl w:val="0"/>
          <w:numId w:val="5"/>
        </w:numPr>
        <w:spacing w:after="200"/>
        <w:rPr>
          <w:rFonts w:ascii="Merriweather" w:eastAsia="Merriweather" w:hAnsi="Merriweather" w:cs="Merriweather"/>
          <w:sz w:val="20"/>
          <w:szCs w:val="20"/>
        </w:rPr>
      </w:pPr>
      <w:r>
        <w:rPr>
          <w:rFonts w:ascii="Merriweather" w:eastAsia="Merriweather" w:hAnsi="Merriweather" w:cs="Merriweather"/>
          <w:sz w:val="20"/>
          <w:szCs w:val="20"/>
        </w:rPr>
        <w:t>To what extent do you agree or disagree with the following statements? (Strongly Disagree, Disagree, Neutral, Agree, Agree)</w:t>
      </w:r>
    </w:p>
    <w:p w14:paraId="2372597C" w14:textId="77777777" w:rsidR="00F074FA" w:rsidRDefault="00000000">
      <w:pPr>
        <w:numPr>
          <w:ilvl w:val="1"/>
          <w:numId w:val="5"/>
        </w:numPr>
        <w:spacing w:after="200"/>
        <w:rPr>
          <w:rFonts w:ascii="Merriweather" w:eastAsia="Merriweather" w:hAnsi="Merriweather" w:cs="Merriweather"/>
          <w:sz w:val="20"/>
          <w:szCs w:val="20"/>
        </w:rPr>
      </w:pPr>
      <w:r>
        <w:rPr>
          <w:rFonts w:ascii="Merriweather" w:eastAsia="Merriweather" w:hAnsi="Merriweather" w:cs="Merriweather"/>
          <w:sz w:val="20"/>
          <w:szCs w:val="20"/>
        </w:rPr>
        <w:t>The SBTN Freshwater Version 2 draft guidance effectively describes the new freshwater targets, their context, and includes sufficient supporting information.</w:t>
      </w:r>
    </w:p>
    <w:p w14:paraId="74DFB965" w14:textId="77777777" w:rsidR="00F074FA" w:rsidRDefault="00000000">
      <w:pPr>
        <w:numPr>
          <w:ilvl w:val="1"/>
          <w:numId w:val="5"/>
        </w:numPr>
        <w:spacing w:after="200"/>
        <w:rPr>
          <w:rFonts w:ascii="Merriweather" w:eastAsia="Merriweather" w:hAnsi="Merriweather" w:cs="Merriweather"/>
          <w:sz w:val="20"/>
          <w:szCs w:val="20"/>
        </w:rPr>
      </w:pPr>
      <w:r>
        <w:rPr>
          <w:rFonts w:ascii="Merriweather" w:eastAsia="Merriweather" w:hAnsi="Merriweather" w:cs="Merriweather"/>
          <w:sz w:val="20"/>
          <w:szCs w:val="20"/>
        </w:rPr>
        <w:t xml:space="preserve">SBTN Freshwater Version 2 increases the ambition of freshwater targets in halting and reversing nature loss. </w:t>
      </w:r>
    </w:p>
    <w:p w14:paraId="45D83F3E" w14:textId="77777777" w:rsidR="00F074FA" w:rsidRDefault="00000000">
      <w:pPr>
        <w:numPr>
          <w:ilvl w:val="1"/>
          <w:numId w:val="5"/>
        </w:numPr>
        <w:spacing w:after="200"/>
        <w:rPr>
          <w:rFonts w:ascii="Merriweather" w:eastAsia="Merriweather" w:hAnsi="Merriweather" w:cs="Merriweather"/>
          <w:sz w:val="20"/>
          <w:szCs w:val="20"/>
        </w:rPr>
      </w:pPr>
      <w:r>
        <w:rPr>
          <w:rFonts w:ascii="Merriweather" w:eastAsia="Merriweather" w:hAnsi="Merriweather" w:cs="Merriweather"/>
          <w:sz w:val="20"/>
          <w:szCs w:val="20"/>
        </w:rPr>
        <w:lastRenderedPageBreak/>
        <w:t xml:space="preserve">SBTN Freshwater Version 2 demonstrates a credible framework for addressing company impacts on freshwater systems. </w:t>
      </w:r>
    </w:p>
    <w:p w14:paraId="13FF0890" w14:textId="77777777" w:rsidR="00F074FA" w:rsidRDefault="00000000">
      <w:pPr>
        <w:numPr>
          <w:ilvl w:val="1"/>
          <w:numId w:val="5"/>
        </w:numPr>
        <w:spacing w:after="200"/>
        <w:rPr>
          <w:rFonts w:ascii="Merriweather" w:eastAsia="Merriweather" w:hAnsi="Merriweather" w:cs="Merriweather"/>
          <w:sz w:val="20"/>
          <w:szCs w:val="20"/>
        </w:rPr>
      </w:pPr>
      <w:r>
        <w:rPr>
          <w:rFonts w:ascii="Merriweather" w:eastAsia="Merriweather" w:hAnsi="Merriweather" w:cs="Merriweather"/>
          <w:sz w:val="20"/>
          <w:szCs w:val="20"/>
        </w:rPr>
        <w:t xml:space="preserve">SBTN Freshwater Version 2 recognizes company implementation barriers and increases feasibility while maintaining scientific rigor. </w:t>
      </w:r>
    </w:p>
    <w:p w14:paraId="39F84A63" w14:textId="77777777" w:rsidR="00F074FA" w:rsidRDefault="00000000">
      <w:pPr>
        <w:numPr>
          <w:ilvl w:val="1"/>
          <w:numId w:val="5"/>
        </w:numPr>
        <w:spacing w:after="200"/>
        <w:rPr>
          <w:rFonts w:ascii="Merriweather" w:eastAsia="Merriweather" w:hAnsi="Merriweather" w:cs="Merriweather"/>
          <w:sz w:val="20"/>
          <w:szCs w:val="20"/>
        </w:rPr>
      </w:pPr>
      <w:r>
        <w:rPr>
          <w:rFonts w:ascii="Merriweather" w:eastAsia="Merriweather" w:hAnsi="Merriweather" w:cs="Merriweather"/>
          <w:sz w:val="20"/>
          <w:szCs w:val="20"/>
        </w:rPr>
        <w:t>SBTN Freshwater Version 2 complements existing voluntary and mandatory initiatives.</w:t>
      </w:r>
    </w:p>
    <w:p w14:paraId="054A9C26" w14:textId="77777777" w:rsidR="00F074FA" w:rsidRDefault="00000000">
      <w:pPr>
        <w:pStyle w:val="Heading2"/>
        <w:rPr>
          <w:rFonts w:ascii="Merriweather" w:eastAsia="Merriweather" w:hAnsi="Merriweather" w:cs="Merriweather"/>
          <w:sz w:val="30"/>
          <w:szCs w:val="30"/>
        </w:rPr>
      </w:pPr>
      <w:bookmarkStart w:id="4" w:name="_79htnp5t1rwj" w:colFirst="0" w:colLast="0"/>
      <w:bookmarkEnd w:id="4"/>
      <w:r>
        <w:rPr>
          <w:rFonts w:ascii="Merriweather" w:eastAsia="Merriweather" w:hAnsi="Merriweather" w:cs="Merriweather"/>
          <w:sz w:val="30"/>
          <w:szCs w:val="30"/>
        </w:rPr>
        <w:t>Section 3: Toxic Chemicals Target</w:t>
      </w:r>
    </w:p>
    <w:p w14:paraId="1A550BAA" w14:textId="77777777" w:rsidR="00F074FA" w:rsidRDefault="00F074FA">
      <w:pPr>
        <w:ind w:left="720"/>
        <w:rPr>
          <w:rFonts w:ascii="Merriweather" w:eastAsia="Merriweather" w:hAnsi="Merriweather" w:cs="Merriweather"/>
          <w:sz w:val="20"/>
          <w:szCs w:val="20"/>
        </w:rPr>
      </w:pPr>
    </w:p>
    <w:p w14:paraId="4BAD3287" w14:textId="77777777" w:rsidR="00F074FA" w:rsidRDefault="00000000">
      <w:pPr>
        <w:numPr>
          <w:ilvl w:val="0"/>
          <w:numId w:val="17"/>
        </w:numPr>
        <w:spacing w:after="200"/>
        <w:rPr>
          <w:rFonts w:ascii="Merriweather" w:eastAsia="Merriweather" w:hAnsi="Merriweather" w:cs="Merriweather"/>
          <w:sz w:val="20"/>
          <w:szCs w:val="20"/>
        </w:rPr>
      </w:pPr>
      <w:r>
        <w:rPr>
          <w:rFonts w:ascii="Merriweather" w:eastAsia="Merriweather" w:hAnsi="Merriweather" w:cs="Merriweather"/>
          <w:sz w:val="20"/>
          <w:szCs w:val="20"/>
        </w:rPr>
        <w:t>To what extent do you agree with the following statement? This method requires a reasonable amount of data, with the minimum granularity and quality necessary to set a target, to ensure the targets are implementable by companies within the method scope?. (Strongly Disagree, Disagree, Neutral, Agree, Agree)</w:t>
      </w:r>
    </w:p>
    <w:p w14:paraId="4E78409B" w14:textId="77777777" w:rsidR="00F074FA" w:rsidRDefault="00000000">
      <w:pPr>
        <w:numPr>
          <w:ilvl w:val="0"/>
          <w:numId w:val="17"/>
        </w:numPr>
        <w:spacing w:after="200"/>
        <w:rPr>
          <w:rFonts w:ascii="Merriweather" w:eastAsia="Merriweather" w:hAnsi="Merriweather" w:cs="Merriweather"/>
          <w:sz w:val="20"/>
          <w:szCs w:val="20"/>
        </w:rPr>
      </w:pPr>
      <w:r>
        <w:rPr>
          <w:rFonts w:ascii="Merriweather" w:eastAsia="Merriweather" w:hAnsi="Merriweather" w:cs="Merriweather"/>
          <w:sz w:val="20"/>
          <w:szCs w:val="20"/>
        </w:rPr>
        <w:t>Are there models, datasets, or other resources not referenced in the guidance that you would recommend for baselining or target-setting (e.g., impact factor data, best practices for pesticide risk reduction, globally applicable point source pollutant concentration thresholds, or lists of hazardous pesticides)?</w:t>
      </w:r>
    </w:p>
    <w:p w14:paraId="765352CC" w14:textId="77777777" w:rsidR="00F074FA" w:rsidRDefault="00000000">
      <w:pPr>
        <w:numPr>
          <w:ilvl w:val="0"/>
          <w:numId w:val="17"/>
        </w:numPr>
        <w:spacing w:after="200"/>
        <w:rPr>
          <w:rFonts w:ascii="Merriweather" w:eastAsia="Merriweather" w:hAnsi="Merriweather" w:cs="Merriweather"/>
          <w:sz w:val="20"/>
          <w:szCs w:val="20"/>
        </w:rPr>
      </w:pPr>
      <w:r>
        <w:rPr>
          <w:rFonts w:ascii="Merriweather" w:eastAsia="Merriweather" w:hAnsi="Merriweather" w:cs="Merriweather"/>
          <w:sz w:val="20"/>
          <w:szCs w:val="20"/>
        </w:rPr>
        <w:t xml:space="preserve">To what extent do you agree with the following statement? The targets will result in positive impacts without resulting in or encouraging negative impacts on other aspects of nature or societal concerns (trade-offs, leakage, etc.)? </w:t>
      </w:r>
    </w:p>
    <w:p w14:paraId="759C49CD" w14:textId="77777777" w:rsidR="00F074FA" w:rsidRDefault="00000000">
      <w:pPr>
        <w:numPr>
          <w:ilvl w:val="0"/>
          <w:numId w:val="17"/>
        </w:numPr>
        <w:spacing w:after="200"/>
        <w:rPr>
          <w:rFonts w:ascii="Merriweather" w:eastAsia="Merriweather" w:hAnsi="Merriweather" w:cs="Merriweather"/>
          <w:sz w:val="20"/>
          <w:szCs w:val="20"/>
        </w:rPr>
      </w:pPr>
      <w:r>
        <w:rPr>
          <w:rFonts w:ascii="Merriweather" w:eastAsia="Merriweather" w:hAnsi="Merriweather" w:cs="Merriweather"/>
          <w:sz w:val="20"/>
          <w:szCs w:val="20"/>
        </w:rPr>
        <w:t>Please describe any potential unintended consequences you foresee from these methods, along with any feasible suggestions to increase safeguards for nature and for people in this guidance.  Where possible, please reference specific standards and best practices.</w:t>
      </w:r>
    </w:p>
    <w:p w14:paraId="07C83AAE" w14:textId="77777777" w:rsidR="00F074FA" w:rsidRDefault="00000000">
      <w:pPr>
        <w:numPr>
          <w:ilvl w:val="0"/>
          <w:numId w:val="17"/>
        </w:numPr>
        <w:spacing w:after="200"/>
        <w:rPr>
          <w:rFonts w:ascii="Merriweather" w:eastAsia="Merriweather" w:hAnsi="Merriweather" w:cs="Merriweather"/>
          <w:sz w:val="20"/>
          <w:szCs w:val="20"/>
        </w:rPr>
      </w:pPr>
      <w:r>
        <w:rPr>
          <w:rFonts w:ascii="Merriweather" w:eastAsia="Merriweather" w:hAnsi="Merriweather" w:cs="Merriweather"/>
          <w:sz w:val="20"/>
          <w:szCs w:val="20"/>
        </w:rPr>
        <w:t>How might this guidance be made more practical, to account for differences in value chain position (e.g., between producers and purchasers) and archetype (sector, company size/structure) on reducing pesticide impacts?</w:t>
      </w:r>
    </w:p>
    <w:p w14:paraId="277FECC5" w14:textId="77777777" w:rsidR="00F074FA" w:rsidRDefault="00000000">
      <w:pPr>
        <w:numPr>
          <w:ilvl w:val="0"/>
          <w:numId w:val="17"/>
        </w:numPr>
        <w:spacing w:after="200"/>
        <w:rPr>
          <w:rFonts w:ascii="Merriweather" w:eastAsia="Merriweather" w:hAnsi="Merriweather" w:cs="Merriweather"/>
          <w:sz w:val="20"/>
          <w:szCs w:val="20"/>
        </w:rPr>
      </w:pPr>
      <w:r>
        <w:rPr>
          <w:rFonts w:ascii="Merriweather" w:eastAsia="Merriweather" w:hAnsi="Merriweather" w:cs="Merriweather"/>
          <w:sz w:val="20"/>
          <w:szCs w:val="20"/>
        </w:rPr>
        <w:t>Would you like to see value chain engagement targets (in addition to reduction and cessation pathways) for the draft guidance? (Yes/No/Unsure)</w:t>
      </w:r>
    </w:p>
    <w:p w14:paraId="71AB06F3" w14:textId="77777777" w:rsidR="00F074FA" w:rsidRDefault="00000000">
      <w:pPr>
        <w:numPr>
          <w:ilvl w:val="1"/>
          <w:numId w:val="17"/>
        </w:numPr>
        <w:spacing w:after="200"/>
        <w:rPr>
          <w:rFonts w:ascii="Merriweather" w:eastAsia="Merriweather" w:hAnsi="Merriweather" w:cs="Merriweather"/>
          <w:sz w:val="20"/>
          <w:szCs w:val="20"/>
        </w:rPr>
      </w:pPr>
      <w:r>
        <w:rPr>
          <w:rFonts w:ascii="Merriweather" w:eastAsia="Merriweather" w:hAnsi="Merriweather" w:cs="Merriweather"/>
          <w:sz w:val="20"/>
          <w:szCs w:val="20"/>
        </w:rPr>
        <w:t>If yes, which type of engagement target do you recommend: (select all that apply):</w:t>
      </w:r>
    </w:p>
    <w:p w14:paraId="493679C2" w14:textId="77777777" w:rsidR="00F074FA" w:rsidRDefault="00000000">
      <w:pPr>
        <w:numPr>
          <w:ilvl w:val="2"/>
          <w:numId w:val="17"/>
        </w:numPr>
        <w:spacing w:after="200"/>
        <w:rPr>
          <w:rFonts w:ascii="Merriweather" w:eastAsia="Merriweather" w:hAnsi="Merriweather" w:cs="Merriweather"/>
          <w:sz w:val="20"/>
          <w:szCs w:val="20"/>
        </w:rPr>
      </w:pPr>
      <w:r>
        <w:rPr>
          <w:rFonts w:ascii="Merriweather" w:eastAsia="Merriweather" w:hAnsi="Merriweather" w:cs="Merriweather"/>
          <w:sz w:val="20"/>
          <w:szCs w:val="20"/>
        </w:rPr>
        <w:t>Companies should add the cessation of HHPs to their procurement contracts</w:t>
      </w:r>
    </w:p>
    <w:p w14:paraId="49E9ED74" w14:textId="77777777" w:rsidR="00F074FA" w:rsidRDefault="00000000">
      <w:pPr>
        <w:numPr>
          <w:ilvl w:val="2"/>
          <w:numId w:val="17"/>
        </w:numPr>
        <w:spacing w:after="200"/>
        <w:rPr>
          <w:rFonts w:ascii="Merriweather" w:eastAsia="Merriweather" w:hAnsi="Merriweather" w:cs="Merriweather"/>
          <w:sz w:val="20"/>
          <w:szCs w:val="20"/>
        </w:rPr>
      </w:pPr>
      <w:r>
        <w:rPr>
          <w:rFonts w:ascii="Merriweather" w:eastAsia="Merriweather" w:hAnsi="Merriweather" w:cs="Merriweather"/>
          <w:sz w:val="20"/>
          <w:szCs w:val="20"/>
        </w:rPr>
        <w:t>Companies should support producers in reducing impacts from pesticides (e.g., help suppliers identify substitutions, invest in technologies to make safer alternatives more economically feasible)</w:t>
      </w:r>
    </w:p>
    <w:p w14:paraId="2E475D26" w14:textId="77777777" w:rsidR="00F074FA" w:rsidRDefault="00000000">
      <w:pPr>
        <w:numPr>
          <w:ilvl w:val="2"/>
          <w:numId w:val="17"/>
        </w:numPr>
        <w:spacing w:after="200"/>
        <w:rPr>
          <w:rFonts w:ascii="Merriweather" w:eastAsia="Merriweather" w:hAnsi="Merriweather" w:cs="Merriweather"/>
          <w:sz w:val="20"/>
          <w:szCs w:val="20"/>
        </w:rPr>
      </w:pPr>
      <w:r>
        <w:rPr>
          <w:rFonts w:ascii="Merriweather" w:eastAsia="Merriweather" w:hAnsi="Merriweather" w:cs="Merriweather"/>
          <w:sz w:val="20"/>
          <w:szCs w:val="20"/>
        </w:rPr>
        <w:lastRenderedPageBreak/>
        <w:t>Companies should engage with government to promote policies that enable the switch to lower risk agricultural management practices</w:t>
      </w:r>
    </w:p>
    <w:p w14:paraId="02CD44C3" w14:textId="77777777" w:rsidR="00F074FA" w:rsidRDefault="00000000">
      <w:pPr>
        <w:numPr>
          <w:ilvl w:val="2"/>
          <w:numId w:val="17"/>
        </w:numPr>
        <w:spacing w:after="200"/>
        <w:rPr>
          <w:rFonts w:ascii="Merriweather" w:eastAsia="Merriweather" w:hAnsi="Merriweather" w:cs="Merriweather"/>
          <w:sz w:val="20"/>
          <w:szCs w:val="20"/>
        </w:rPr>
      </w:pPr>
      <w:r>
        <w:rPr>
          <w:rFonts w:ascii="Merriweather" w:eastAsia="Merriweather" w:hAnsi="Merriweather" w:cs="Merriweather"/>
          <w:sz w:val="20"/>
          <w:szCs w:val="20"/>
        </w:rPr>
        <w:t>Companies should support suppliers on impact reduction at priority locations akin to the SBTN Land Engagement Targets</w:t>
      </w:r>
    </w:p>
    <w:p w14:paraId="17D3AB08" w14:textId="77777777" w:rsidR="00F074FA" w:rsidRDefault="00000000">
      <w:pPr>
        <w:numPr>
          <w:ilvl w:val="2"/>
          <w:numId w:val="17"/>
        </w:numPr>
        <w:spacing w:after="200"/>
        <w:rPr>
          <w:rFonts w:ascii="Merriweather" w:eastAsia="Merriweather" w:hAnsi="Merriweather" w:cs="Merriweather"/>
          <w:sz w:val="20"/>
          <w:szCs w:val="20"/>
        </w:rPr>
      </w:pPr>
      <w:r>
        <w:rPr>
          <w:rFonts w:ascii="Merriweather" w:eastAsia="Merriweather" w:hAnsi="Merriweather" w:cs="Merriweather"/>
          <w:sz w:val="20"/>
          <w:szCs w:val="20"/>
        </w:rPr>
        <w:t>Other: ________________</w:t>
      </w:r>
    </w:p>
    <w:p w14:paraId="2E55229C" w14:textId="77777777" w:rsidR="00F074FA" w:rsidRDefault="00000000">
      <w:pPr>
        <w:numPr>
          <w:ilvl w:val="0"/>
          <w:numId w:val="17"/>
        </w:numPr>
        <w:spacing w:after="200"/>
        <w:rPr>
          <w:rFonts w:ascii="Merriweather" w:eastAsia="Merriweather" w:hAnsi="Merriweather" w:cs="Merriweather"/>
          <w:sz w:val="20"/>
          <w:szCs w:val="20"/>
        </w:rPr>
      </w:pPr>
      <w:r>
        <w:rPr>
          <w:rFonts w:ascii="Merriweather" w:eastAsia="Merriweather" w:hAnsi="Merriweather" w:cs="Merriweather"/>
          <w:sz w:val="20"/>
          <w:szCs w:val="20"/>
        </w:rPr>
        <w:t>The draft guidance asks companies to pursue cessation and reduction targets in parallel Instead, should companies be asked to first prioritize cessation of HHPs, similar to current SBTN guidance to prioritize high-impact commodities, before reducing impacts of non-highly hazardous pesticides? (yes/no/unsure)</w:t>
      </w:r>
    </w:p>
    <w:p w14:paraId="131D76D8" w14:textId="77777777" w:rsidR="00F074FA" w:rsidRDefault="00000000">
      <w:pPr>
        <w:numPr>
          <w:ilvl w:val="0"/>
          <w:numId w:val="17"/>
        </w:numPr>
        <w:spacing w:after="200"/>
        <w:rPr>
          <w:rFonts w:ascii="Merriweather" w:eastAsia="Merriweather" w:hAnsi="Merriweather" w:cs="Merriweather"/>
          <w:sz w:val="20"/>
          <w:szCs w:val="20"/>
        </w:rPr>
      </w:pPr>
      <w:r>
        <w:rPr>
          <w:rFonts w:ascii="Merriweather" w:eastAsia="Merriweather" w:hAnsi="Merriweather" w:cs="Merriweather"/>
          <w:sz w:val="20"/>
          <w:szCs w:val="20"/>
        </w:rPr>
        <w:t>Based on the target ambition, are the timeframes to achieve the targets reasonable? yes/no/unsure</w:t>
      </w:r>
    </w:p>
    <w:p w14:paraId="6C64EA79" w14:textId="77777777" w:rsidR="00F074FA" w:rsidRDefault="00000000">
      <w:pPr>
        <w:numPr>
          <w:ilvl w:val="1"/>
          <w:numId w:val="17"/>
        </w:numPr>
        <w:spacing w:after="200"/>
        <w:rPr>
          <w:rFonts w:ascii="Merriweather" w:eastAsia="Merriweather" w:hAnsi="Merriweather" w:cs="Merriweather"/>
          <w:sz w:val="20"/>
          <w:szCs w:val="20"/>
        </w:rPr>
      </w:pPr>
      <w:r>
        <w:rPr>
          <w:rFonts w:ascii="Merriweather" w:eastAsia="Merriweather" w:hAnsi="Merriweather" w:cs="Merriweather"/>
          <w:sz w:val="20"/>
          <w:szCs w:val="20"/>
        </w:rPr>
        <w:t>If no/unsure, which timeframes would you consider appropriate?</w:t>
      </w:r>
    </w:p>
    <w:p w14:paraId="76841206" w14:textId="77777777" w:rsidR="00F074FA" w:rsidRDefault="00000000">
      <w:pPr>
        <w:numPr>
          <w:ilvl w:val="0"/>
          <w:numId w:val="17"/>
        </w:numPr>
        <w:spacing w:after="200"/>
        <w:rPr>
          <w:rFonts w:ascii="Merriweather" w:eastAsia="Merriweather" w:hAnsi="Merriweather" w:cs="Merriweather"/>
          <w:sz w:val="20"/>
          <w:szCs w:val="20"/>
        </w:rPr>
      </w:pPr>
      <w:r>
        <w:rPr>
          <w:rFonts w:ascii="Merriweather" w:eastAsia="Merriweather" w:hAnsi="Merriweather" w:cs="Merriweather"/>
          <w:sz w:val="20"/>
          <w:szCs w:val="20"/>
        </w:rPr>
        <w:t>The draft guidance focuses on reducing pesticide impact by identifying farm use and emissions. This is complemented by local engagement to check for threshold exceedances. To what extent do you agree this approach is reasonable?  (Strongly Disagree, Disagree, Neutral, Agree, Agree)</w:t>
      </w:r>
    </w:p>
    <w:p w14:paraId="43B469F0" w14:textId="77777777" w:rsidR="00F074FA" w:rsidRDefault="00000000">
      <w:pPr>
        <w:numPr>
          <w:ilvl w:val="0"/>
          <w:numId w:val="17"/>
        </w:numPr>
        <w:spacing w:after="200"/>
        <w:rPr>
          <w:rFonts w:ascii="Merriweather" w:eastAsia="Merriweather" w:hAnsi="Merriweather" w:cs="Merriweather"/>
          <w:sz w:val="20"/>
          <w:szCs w:val="20"/>
        </w:rPr>
      </w:pPr>
      <w:r>
        <w:rPr>
          <w:rFonts w:ascii="Merriweather" w:eastAsia="Merriweather" w:hAnsi="Merriweather" w:cs="Merriweather"/>
          <w:sz w:val="20"/>
          <w:szCs w:val="20"/>
        </w:rPr>
        <w:t>What would constitute “reasonable assurance” that a given farm contributed to a pesticide threshold exceedance? How could this information be validated?</w:t>
      </w:r>
    </w:p>
    <w:p w14:paraId="7B50FC78" w14:textId="77777777" w:rsidR="00F074FA" w:rsidRDefault="00000000">
      <w:pPr>
        <w:numPr>
          <w:ilvl w:val="0"/>
          <w:numId w:val="17"/>
        </w:numPr>
        <w:spacing w:after="200"/>
        <w:rPr>
          <w:rFonts w:ascii="Merriweather" w:eastAsia="Merriweather" w:hAnsi="Merriweather" w:cs="Merriweather"/>
          <w:sz w:val="20"/>
          <w:szCs w:val="20"/>
        </w:rPr>
      </w:pPr>
      <w:r>
        <w:rPr>
          <w:rFonts w:ascii="Merriweather" w:eastAsia="Merriweather" w:hAnsi="Merriweather" w:cs="Merriweather"/>
          <w:sz w:val="20"/>
          <w:szCs w:val="20"/>
        </w:rPr>
        <w:t>Do you have recommendations on if/how local information and stakeholder consultation could be used in a meaningful and feasible way? Specifically, how could the draft guidance better interact with and complement local pesticide management plans to ensure better water quality?</w:t>
      </w:r>
    </w:p>
    <w:p w14:paraId="6CF27117" w14:textId="77777777" w:rsidR="00F074FA" w:rsidRDefault="00000000">
      <w:pPr>
        <w:numPr>
          <w:ilvl w:val="0"/>
          <w:numId w:val="17"/>
        </w:numPr>
        <w:spacing w:after="200"/>
        <w:rPr>
          <w:rFonts w:ascii="Merriweather" w:eastAsia="Merriweather" w:hAnsi="Merriweather" w:cs="Merriweather"/>
          <w:sz w:val="20"/>
          <w:szCs w:val="20"/>
        </w:rPr>
      </w:pPr>
      <w:r>
        <w:rPr>
          <w:rFonts w:ascii="Merriweather" w:eastAsia="Merriweather" w:hAnsi="Merriweather" w:cs="Merriweather"/>
          <w:sz w:val="20"/>
          <w:szCs w:val="20"/>
        </w:rPr>
        <w:t>How could local data and/or models be effectively and appropriately used for target setting?</w:t>
      </w:r>
    </w:p>
    <w:p w14:paraId="2BE975F8" w14:textId="77777777" w:rsidR="00F074FA" w:rsidRDefault="00000000">
      <w:pPr>
        <w:numPr>
          <w:ilvl w:val="0"/>
          <w:numId w:val="17"/>
        </w:numPr>
        <w:spacing w:after="200"/>
        <w:rPr>
          <w:rFonts w:ascii="Merriweather" w:eastAsia="Merriweather" w:hAnsi="Merriweather" w:cs="Merriweather"/>
          <w:sz w:val="20"/>
          <w:szCs w:val="20"/>
        </w:rPr>
      </w:pPr>
      <w:r>
        <w:rPr>
          <w:rFonts w:ascii="Merriweather" w:eastAsia="Merriweather" w:hAnsi="Merriweather" w:cs="Merriweather"/>
          <w:sz w:val="20"/>
          <w:szCs w:val="20"/>
        </w:rPr>
        <w:t>Do you have recommendations on which frameworks/concepts/validation criteria to use to justify not including an HHP into a cessation target yet?</w:t>
      </w:r>
    </w:p>
    <w:p w14:paraId="365F7340" w14:textId="77777777" w:rsidR="00F074FA" w:rsidRDefault="00000000">
      <w:pPr>
        <w:numPr>
          <w:ilvl w:val="0"/>
          <w:numId w:val="17"/>
        </w:numPr>
        <w:spacing w:after="200"/>
        <w:rPr>
          <w:rFonts w:ascii="Merriweather" w:eastAsia="Merriweather" w:hAnsi="Merriweather" w:cs="Merriweather"/>
          <w:sz w:val="20"/>
          <w:szCs w:val="20"/>
        </w:rPr>
      </w:pPr>
      <w:r>
        <w:rPr>
          <w:rFonts w:ascii="Merriweather" w:eastAsia="Merriweather" w:hAnsi="Merriweather" w:cs="Merriweather"/>
          <w:sz w:val="20"/>
          <w:szCs w:val="20"/>
        </w:rPr>
        <w:t>Do you have recommendations for criteria that companies would have to meet to demonstrate that meeting point source discharge concentration thresholds is infeasible?</w:t>
      </w:r>
    </w:p>
    <w:p w14:paraId="06D53505" w14:textId="77777777" w:rsidR="00F074FA" w:rsidRDefault="00000000">
      <w:pPr>
        <w:numPr>
          <w:ilvl w:val="0"/>
          <w:numId w:val="17"/>
        </w:numPr>
        <w:spacing w:after="200"/>
        <w:rPr>
          <w:rFonts w:ascii="Merriweather" w:eastAsia="Merriweather" w:hAnsi="Merriweather" w:cs="Merriweather"/>
          <w:sz w:val="20"/>
          <w:szCs w:val="20"/>
        </w:rPr>
      </w:pPr>
      <w:r>
        <w:rPr>
          <w:rFonts w:ascii="Merriweather" w:eastAsia="Merriweather" w:hAnsi="Merriweather" w:cs="Merriweather"/>
          <w:sz w:val="20"/>
          <w:szCs w:val="20"/>
        </w:rPr>
        <w:t>How could this guidance ensure the 50% reduction target doesn’t unfairly prohibit companies/producers who have already taken significant steps toward reducing impacts from setting SBTs?</w:t>
      </w:r>
    </w:p>
    <w:p w14:paraId="3C5FC155" w14:textId="77777777" w:rsidR="00F074FA" w:rsidRDefault="00000000">
      <w:pPr>
        <w:numPr>
          <w:ilvl w:val="0"/>
          <w:numId w:val="17"/>
        </w:numPr>
        <w:spacing w:before="240" w:after="200"/>
        <w:rPr>
          <w:rFonts w:ascii="Merriweather" w:eastAsia="Merriweather" w:hAnsi="Merriweather" w:cs="Merriweather"/>
          <w:sz w:val="20"/>
          <w:szCs w:val="20"/>
        </w:rPr>
      </w:pPr>
      <w:r>
        <w:rPr>
          <w:rFonts w:ascii="Merriweather" w:eastAsia="Merriweather" w:hAnsi="Merriweather" w:cs="Merriweather"/>
          <w:sz w:val="20"/>
          <w:szCs w:val="20"/>
        </w:rPr>
        <w:t>Companies producing or trading pesticides are asked to set a cessation target which would address these companies’ downstream (in the value chain) impacts. Do you agree with keeping this pathway in the guidance? (yes/no/unsure)</w:t>
      </w:r>
    </w:p>
    <w:p w14:paraId="40889C6A" w14:textId="77777777" w:rsidR="00F074FA" w:rsidRDefault="00000000">
      <w:pPr>
        <w:pStyle w:val="Heading2"/>
        <w:rPr>
          <w:rFonts w:ascii="Merriweather" w:eastAsia="Merriweather" w:hAnsi="Merriweather" w:cs="Merriweather"/>
          <w:sz w:val="30"/>
          <w:szCs w:val="30"/>
        </w:rPr>
      </w:pPr>
      <w:bookmarkStart w:id="5" w:name="_bsuwqop0uobz" w:colFirst="0" w:colLast="0"/>
      <w:bookmarkEnd w:id="5"/>
      <w:r>
        <w:rPr>
          <w:rFonts w:ascii="Merriweather" w:eastAsia="Merriweather" w:hAnsi="Merriweather" w:cs="Merriweather"/>
          <w:sz w:val="30"/>
          <w:szCs w:val="30"/>
        </w:rPr>
        <w:lastRenderedPageBreak/>
        <w:t xml:space="preserve">Section 4: Groundwater Target </w:t>
      </w:r>
    </w:p>
    <w:p w14:paraId="53E573BC" w14:textId="77777777" w:rsidR="00F074FA" w:rsidRDefault="00000000">
      <w:pPr>
        <w:numPr>
          <w:ilvl w:val="0"/>
          <w:numId w:val="2"/>
        </w:numPr>
        <w:spacing w:after="200"/>
        <w:ind w:left="1080"/>
        <w:rPr>
          <w:sz w:val="20"/>
          <w:szCs w:val="20"/>
        </w:rPr>
      </w:pPr>
      <w:r>
        <w:rPr>
          <w:rFonts w:ascii="Merriweather" w:eastAsia="Merriweather" w:hAnsi="Merriweather" w:cs="Merriweather"/>
          <w:b/>
          <w:sz w:val="20"/>
          <w:szCs w:val="20"/>
        </w:rPr>
        <w:t>Coding System (sec. 3.2.1 Spatial Scale)</w:t>
      </w:r>
      <w:r>
        <w:rPr>
          <w:rFonts w:ascii="Merriweather" w:eastAsia="Merriweather" w:hAnsi="Merriweather" w:cs="Merriweather"/>
          <w:sz w:val="20"/>
          <w:szCs w:val="20"/>
        </w:rPr>
        <w:t xml:space="preserve">: What are the potential drawbacks of using the same coding system for surface water and groundwater (i.e., the Pfafstetter Coding System for river basins) to account for targets across systems? What alternatives would you recommend? </w:t>
      </w:r>
    </w:p>
    <w:p w14:paraId="2495DC59" w14:textId="77777777" w:rsidR="00F074FA" w:rsidRDefault="00000000">
      <w:pPr>
        <w:numPr>
          <w:ilvl w:val="0"/>
          <w:numId w:val="19"/>
        </w:numPr>
        <w:spacing w:after="200"/>
        <w:ind w:left="1080"/>
        <w:rPr>
          <w:sz w:val="20"/>
          <w:szCs w:val="20"/>
        </w:rPr>
      </w:pPr>
      <w:r>
        <w:rPr>
          <w:rFonts w:ascii="Merriweather" w:eastAsia="Merriweather" w:hAnsi="Merriweather" w:cs="Merriweather"/>
          <w:b/>
          <w:sz w:val="20"/>
          <w:szCs w:val="20"/>
        </w:rPr>
        <w:t>Global Hydrological Models (sec. 3.3.1 Max Allowable Withdrawals):</w:t>
      </w:r>
      <w:r>
        <w:rPr>
          <w:rFonts w:ascii="Merriweather" w:eastAsia="Merriweather" w:hAnsi="Merriweather" w:cs="Merriweather"/>
          <w:sz w:val="20"/>
          <w:szCs w:val="20"/>
        </w:rPr>
        <w:t xml:space="preserve"> The proposed global modeling approach uses two models to determine groundwater targets (Global-scale Surface-water Groundwater Model (GSGM) and </w:t>
      </w:r>
      <w:hyperlink r:id="rId10">
        <w:r>
          <w:rPr>
            <w:rFonts w:ascii="Merriweather" w:eastAsia="Merriweather" w:hAnsi="Merriweather" w:cs="Merriweather"/>
            <w:color w:val="1155CC"/>
            <w:sz w:val="20"/>
            <w:szCs w:val="20"/>
            <w:u w:val="single"/>
          </w:rPr>
          <w:t>Hogeboom</w:t>
        </w:r>
      </w:hyperlink>
      <w:r>
        <w:rPr>
          <w:rFonts w:ascii="Merriweather" w:eastAsia="Merriweather" w:hAnsi="Merriweather" w:cs="Merriweather"/>
          <w:sz w:val="20"/>
          <w:szCs w:val="20"/>
        </w:rPr>
        <w:t xml:space="preserve">). Are there any additional and threshold approaches that you firmly believe we should consider? If so, please explain why. </w:t>
      </w:r>
    </w:p>
    <w:p w14:paraId="24330F23" w14:textId="77777777" w:rsidR="00F074FA" w:rsidRDefault="00000000">
      <w:pPr>
        <w:numPr>
          <w:ilvl w:val="0"/>
          <w:numId w:val="21"/>
        </w:numPr>
        <w:spacing w:after="200"/>
        <w:ind w:left="1080"/>
        <w:rPr>
          <w:sz w:val="20"/>
          <w:szCs w:val="20"/>
        </w:rPr>
      </w:pPr>
      <w:r>
        <w:rPr>
          <w:rFonts w:ascii="Merriweather" w:eastAsia="Merriweather" w:hAnsi="Merriweather" w:cs="Merriweather"/>
          <w:b/>
          <w:sz w:val="20"/>
          <w:szCs w:val="20"/>
        </w:rPr>
        <w:t>Climate Scenarios (sec. 3.3.1 Max Allowable Withdrawals):</w:t>
      </w:r>
      <w:r>
        <w:rPr>
          <w:rFonts w:ascii="Merriweather" w:eastAsia="Merriweather" w:hAnsi="Merriweather" w:cs="Merriweather"/>
          <w:sz w:val="20"/>
          <w:szCs w:val="20"/>
        </w:rPr>
        <w:t xml:space="preserve"> The SBTi Forest, Land, and Agricultural (FLAG) sector pathway is based on Roe et al.’s (2019) review study "</w:t>
      </w:r>
      <w:hyperlink r:id="rId11">
        <w:r>
          <w:rPr>
            <w:rFonts w:ascii="Merriweather" w:eastAsia="Merriweather" w:hAnsi="Merriweather" w:cs="Merriweather"/>
            <w:color w:val="1155CC"/>
            <w:sz w:val="20"/>
            <w:szCs w:val="20"/>
            <w:u w:val="single"/>
          </w:rPr>
          <w:t>Contribution of the Land Sector to a 1.5°C World,"</w:t>
        </w:r>
      </w:hyperlink>
      <w:r>
        <w:rPr>
          <w:rFonts w:ascii="Merriweather" w:eastAsia="Merriweather" w:hAnsi="Merriweather" w:cs="Merriweather"/>
          <w:sz w:val="20"/>
          <w:szCs w:val="20"/>
        </w:rPr>
        <w:t xml:space="preserve"> published in Nature Climate Change. Are there any potential concerns with using the same scenario in GSGM? For instance, RCP 8.5 has been used with other GSGM analysis. If there are concerns with using a 1.5°C scenario, please explain why we should use anything else. </w:t>
      </w:r>
    </w:p>
    <w:p w14:paraId="55D86C28" w14:textId="77777777" w:rsidR="00F074FA" w:rsidRDefault="00000000">
      <w:pPr>
        <w:numPr>
          <w:ilvl w:val="0"/>
          <w:numId w:val="3"/>
        </w:numPr>
        <w:spacing w:after="200"/>
        <w:ind w:left="1080"/>
        <w:rPr>
          <w:sz w:val="20"/>
          <w:szCs w:val="20"/>
        </w:rPr>
      </w:pPr>
      <w:r>
        <w:rPr>
          <w:rFonts w:ascii="Merriweather" w:eastAsia="Merriweather" w:hAnsi="Merriweather" w:cs="Merriweather"/>
          <w:b/>
          <w:sz w:val="20"/>
          <w:szCs w:val="20"/>
        </w:rPr>
        <w:t>Recovery Limits (sec. 3.3.1 Max Allowable Withdrawals):</w:t>
      </w:r>
      <w:r>
        <w:rPr>
          <w:rFonts w:ascii="Merriweather" w:eastAsia="Merriweather" w:hAnsi="Merriweather" w:cs="Merriweather"/>
          <w:sz w:val="20"/>
          <w:szCs w:val="20"/>
        </w:rPr>
        <w:t xml:space="preserve"> Our hypothesis is that 10 meters is the upper limit for practically restoring groundwater levels to rooting zones and recovering groundwater-dependent ecosystems. We believe that prioritizing conservation efforts elsewhere may be more successful beyond this point. Do you believe that 10 meters is a reasonable limit? If not, what do you recommend? </w:t>
      </w:r>
    </w:p>
    <w:p w14:paraId="6ABA2E71" w14:textId="77777777" w:rsidR="00F074FA" w:rsidRDefault="00000000">
      <w:pPr>
        <w:numPr>
          <w:ilvl w:val="0"/>
          <w:numId w:val="9"/>
        </w:numPr>
        <w:spacing w:after="200"/>
        <w:ind w:left="1080"/>
        <w:rPr>
          <w:sz w:val="20"/>
          <w:szCs w:val="20"/>
        </w:rPr>
      </w:pPr>
      <w:r>
        <w:rPr>
          <w:rFonts w:ascii="Merriweather" w:eastAsia="Merriweather" w:hAnsi="Merriweather" w:cs="Merriweather"/>
          <w:b/>
          <w:sz w:val="20"/>
          <w:szCs w:val="20"/>
        </w:rPr>
        <w:t>Target Calculation (sec. 3.3.1 Max Allowable Withdrawals):</w:t>
      </w:r>
      <w:r>
        <w:rPr>
          <w:rFonts w:ascii="Merriweather" w:eastAsia="Merriweather" w:hAnsi="Merriweather" w:cs="Merriweather"/>
          <w:sz w:val="20"/>
          <w:szCs w:val="20"/>
        </w:rPr>
        <w:t xml:space="preserve"> Should the targets average the reduction percentages across model grid cells within each Pfafstetter Level 5 Basin, or should they be based on the grid cell that requires the largest reduction (using the most restrictive option)? Please explain.</w:t>
      </w:r>
      <w:hyperlink r:id="rId12">
        <w:r>
          <w:rPr>
            <w:rFonts w:ascii="Merriweather" w:eastAsia="Merriweather" w:hAnsi="Merriweather" w:cs="Merriweather"/>
            <w:color w:val="1155CC"/>
            <w:sz w:val="20"/>
            <w:szCs w:val="20"/>
            <w:u w:val="single"/>
          </w:rPr>
          <w:t xml:space="preserve"> [Reference slide 18]</w:t>
        </w:r>
      </w:hyperlink>
      <w:r>
        <w:rPr>
          <w:rFonts w:ascii="Merriweather" w:eastAsia="Merriweather" w:hAnsi="Merriweather" w:cs="Merriweather"/>
          <w:sz w:val="20"/>
          <w:szCs w:val="20"/>
        </w:rPr>
        <w:t xml:space="preserve"> </w:t>
      </w:r>
    </w:p>
    <w:p w14:paraId="0394A52F" w14:textId="77777777" w:rsidR="00F074FA" w:rsidRDefault="00000000">
      <w:pPr>
        <w:numPr>
          <w:ilvl w:val="0"/>
          <w:numId w:val="15"/>
        </w:numPr>
        <w:spacing w:after="200"/>
        <w:ind w:left="1080"/>
        <w:rPr>
          <w:sz w:val="20"/>
          <w:szCs w:val="20"/>
        </w:rPr>
      </w:pPr>
      <w:r>
        <w:rPr>
          <w:rFonts w:ascii="Merriweather" w:eastAsia="Merriweather" w:hAnsi="Merriweather" w:cs="Merriweather"/>
          <w:b/>
          <w:sz w:val="20"/>
          <w:szCs w:val="20"/>
        </w:rPr>
        <w:t>Groundwater Response Time (sec. 3.3.1 Max Allowable Withdrawals):</w:t>
      </w:r>
      <w:r>
        <w:rPr>
          <w:rFonts w:ascii="Merriweather" w:eastAsia="Merriweather" w:hAnsi="Merriweather" w:cs="Merriweather"/>
          <w:sz w:val="20"/>
          <w:szCs w:val="20"/>
        </w:rPr>
        <w:t xml:space="preserve"> Do we consider response time when restoring a degraded groundwater-dependent ecosystem? It may take decades to achieve a dynamically stable aquifer level. Selecting a higher reduction percentage shortens response time.</w:t>
      </w:r>
      <w:hyperlink r:id="rId13">
        <w:r>
          <w:rPr>
            <w:rFonts w:ascii="Merriweather" w:eastAsia="Merriweather" w:hAnsi="Merriweather" w:cs="Merriweather"/>
            <w:color w:val="1155CC"/>
            <w:sz w:val="20"/>
            <w:szCs w:val="20"/>
            <w:u w:val="single"/>
          </w:rPr>
          <w:t xml:space="preserve"> [Reference slides 19-20]</w:t>
        </w:r>
      </w:hyperlink>
      <w:r>
        <w:rPr>
          <w:rFonts w:ascii="Merriweather" w:eastAsia="Merriweather" w:hAnsi="Merriweather" w:cs="Merriweather"/>
          <w:sz w:val="20"/>
          <w:szCs w:val="20"/>
        </w:rPr>
        <w:t xml:space="preserve"> </w:t>
      </w:r>
    </w:p>
    <w:p w14:paraId="7891A069" w14:textId="77777777" w:rsidR="00F074FA" w:rsidRDefault="00000000">
      <w:pPr>
        <w:numPr>
          <w:ilvl w:val="0"/>
          <w:numId w:val="7"/>
        </w:numPr>
        <w:spacing w:after="200"/>
        <w:ind w:left="1080"/>
        <w:rPr>
          <w:sz w:val="20"/>
          <w:szCs w:val="20"/>
        </w:rPr>
      </w:pPr>
      <w:r>
        <w:rPr>
          <w:rFonts w:ascii="Merriweather" w:eastAsia="Merriweather" w:hAnsi="Merriweather" w:cs="Merriweather"/>
          <w:b/>
          <w:sz w:val="20"/>
          <w:szCs w:val="20"/>
        </w:rPr>
        <w:t>Coastal Aquifers (sec. 3.3.1 Max Allowable Withdrawals):</w:t>
      </w:r>
      <w:r>
        <w:rPr>
          <w:rFonts w:ascii="Merriweather" w:eastAsia="Merriweather" w:hAnsi="Merriweather" w:cs="Merriweather"/>
          <w:sz w:val="20"/>
          <w:szCs w:val="20"/>
        </w:rPr>
        <w:t xml:space="preserve"> We would appreciate your advice on coastal aquifers. Are you familiar with elegant global approaches to establishing groundwater targets to protect against saltwater intrusion? What would be the basis for the threshold? </w:t>
      </w:r>
    </w:p>
    <w:p w14:paraId="05C3E006" w14:textId="77777777" w:rsidR="00F074FA" w:rsidRDefault="00000000">
      <w:pPr>
        <w:numPr>
          <w:ilvl w:val="0"/>
          <w:numId w:val="20"/>
        </w:numPr>
        <w:spacing w:after="200"/>
        <w:ind w:left="1080"/>
        <w:rPr>
          <w:sz w:val="20"/>
          <w:szCs w:val="20"/>
        </w:rPr>
      </w:pPr>
      <w:r>
        <w:rPr>
          <w:rFonts w:ascii="Merriweather" w:eastAsia="Merriweather" w:hAnsi="Merriweather" w:cs="Merriweather"/>
          <w:b/>
          <w:sz w:val="20"/>
          <w:szCs w:val="20"/>
        </w:rPr>
        <w:t xml:space="preserve">Allocation (sec. 3.3.2 Determine Company-specific Freshwater Quantity Target): </w:t>
      </w:r>
      <w:r>
        <w:rPr>
          <w:rFonts w:ascii="Merriweather" w:eastAsia="Merriweather" w:hAnsi="Merriweather" w:cs="Merriweather"/>
          <w:sz w:val="20"/>
          <w:szCs w:val="20"/>
        </w:rPr>
        <w:t xml:space="preserve">In general, we’ve received a considerable amount of feedback about the “equal contraction of efforts” approach to allocation in the past and are open to </w:t>
      </w:r>
      <w:r>
        <w:rPr>
          <w:rFonts w:ascii="Merriweather" w:eastAsia="Merriweather" w:hAnsi="Merriweather" w:cs="Merriweather"/>
          <w:sz w:val="20"/>
          <w:szCs w:val="20"/>
        </w:rPr>
        <w:lastRenderedPageBreak/>
        <w:t xml:space="preserve">enhancements. Are there alternatives or changes you suggest to improve the approach? </w:t>
      </w:r>
    </w:p>
    <w:p w14:paraId="4675EDAB" w14:textId="77777777" w:rsidR="00F074FA" w:rsidRDefault="00000000">
      <w:pPr>
        <w:numPr>
          <w:ilvl w:val="0"/>
          <w:numId w:val="1"/>
        </w:numPr>
        <w:spacing w:after="200"/>
        <w:ind w:left="1080"/>
        <w:rPr>
          <w:sz w:val="20"/>
          <w:szCs w:val="20"/>
        </w:rPr>
      </w:pPr>
      <w:r>
        <w:rPr>
          <w:rFonts w:ascii="Merriweather" w:eastAsia="Merriweather" w:hAnsi="Merriweather" w:cs="Merriweather"/>
          <w:b/>
          <w:sz w:val="20"/>
          <w:szCs w:val="20"/>
        </w:rPr>
        <w:t>Target Dates (sec. 3.3.4 Template for Quantity Targets):</w:t>
      </w:r>
      <w:r>
        <w:rPr>
          <w:rFonts w:ascii="Merriweather" w:eastAsia="Merriweather" w:hAnsi="Merriweather" w:cs="Merriweather"/>
          <w:sz w:val="20"/>
          <w:szCs w:val="20"/>
        </w:rPr>
        <w:t xml:space="preserve"> The existing requirements for target dates (in Step 3 Freshwater V1.1) are detailed below. Do you think these are also reasonable for this groundwater update? If not, please provide recommendations. </w:t>
      </w:r>
    </w:p>
    <w:p w14:paraId="352B8865" w14:textId="77777777" w:rsidR="00F074FA" w:rsidRDefault="00000000">
      <w:pPr>
        <w:shd w:val="clear" w:color="auto" w:fill="FFFFFF"/>
        <w:spacing w:before="240" w:after="200"/>
        <w:ind w:left="720"/>
        <w:rPr>
          <w:rFonts w:ascii="Merriweather" w:eastAsia="Merriweather" w:hAnsi="Merriweather" w:cs="Merriweather"/>
          <w:sz w:val="20"/>
          <w:szCs w:val="20"/>
        </w:rPr>
      </w:pPr>
      <w:r>
        <w:rPr>
          <w:rFonts w:ascii="Merriweather" w:eastAsia="Merriweather" w:hAnsi="Merriweather" w:cs="Merriweather"/>
          <w:i/>
          <w:sz w:val="20"/>
          <w:szCs w:val="20"/>
        </w:rPr>
        <w:t>“For a pressure reduction target of 25% or less:</w:t>
      </w:r>
      <w:r>
        <w:rPr>
          <w:rFonts w:ascii="Merriweather" w:eastAsia="Merriweather" w:hAnsi="Merriweather" w:cs="Merriweather"/>
          <w:sz w:val="20"/>
          <w:szCs w:val="20"/>
        </w:rPr>
        <w:t xml:space="preserve"> </w:t>
      </w:r>
    </w:p>
    <w:p w14:paraId="621C6B46" w14:textId="77777777" w:rsidR="00F074FA" w:rsidRDefault="00000000">
      <w:pPr>
        <w:numPr>
          <w:ilvl w:val="0"/>
          <w:numId w:val="12"/>
        </w:numPr>
        <w:spacing w:after="200"/>
        <w:ind w:left="1800"/>
        <w:rPr>
          <w:rFonts w:ascii="Merriweather" w:eastAsia="Merriweather" w:hAnsi="Merriweather" w:cs="Merriweather"/>
          <w:sz w:val="20"/>
          <w:szCs w:val="20"/>
        </w:rPr>
      </w:pPr>
      <w:r>
        <w:rPr>
          <w:rFonts w:ascii="Merriweather" w:eastAsia="Merriweather" w:hAnsi="Merriweather" w:cs="Merriweather"/>
          <w:i/>
          <w:sz w:val="20"/>
          <w:szCs w:val="20"/>
        </w:rPr>
        <w:t>Companies must submit their targets with a target year of five years from the date that the target is submitted,</w:t>
      </w:r>
      <w:r>
        <w:rPr>
          <w:rFonts w:ascii="Merriweather" w:eastAsia="Merriweather" w:hAnsi="Merriweather" w:cs="Merriweather"/>
          <w:sz w:val="20"/>
          <w:szCs w:val="20"/>
        </w:rPr>
        <w:t xml:space="preserve"> </w:t>
      </w:r>
    </w:p>
    <w:p w14:paraId="774C3B70" w14:textId="77777777" w:rsidR="00F074FA" w:rsidRDefault="00000000">
      <w:pPr>
        <w:numPr>
          <w:ilvl w:val="0"/>
          <w:numId w:val="16"/>
        </w:numPr>
        <w:spacing w:after="200"/>
        <w:ind w:left="1800"/>
        <w:rPr>
          <w:rFonts w:ascii="Merriweather" w:eastAsia="Merriweather" w:hAnsi="Merriweather" w:cs="Merriweather"/>
          <w:sz w:val="20"/>
          <w:szCs w:val="20"/>
        </w:rPr>
      </w:pPr>
      <w:r>
        <w:rPr>
          <w:rFonts w:ascii="Merriweather" w:eastAsia="Merriweather" w:hAnsi="Merriweather" w:cs="Merriweather"/>
          <w:i/>
          <w:sz w:val="20"/>
          <w:szCs w:val="20"/>
        </w:rPr>
        <w:t>OR: With adequate justification, companies may choose a target date of up to ten years. Adequate justification must be submitted for validation and must demonstrate that the extended target date 1) aligns with the timeframe of global societal or policy goals (e.g., GBF or UN SDGs), 2) aligns with the timeframe of local or regional policy or voluntary goals, or 3) is associated with documentation on stakeholder engagement or other tangible actions that they deem critical for implementing actions to achieve their target in that basin.</w:t>
      </w:r>
      <w:r>
        <w:rPr>
          <w:rFonts w:ascii="Merriweather" w:eastAsia="Merriweather" w:hAnsi="Merriweather" w:cs="Merriweather"/>
          <w:sz w:val="20"/>
          <w:szCs w:val="20"/>
        </w:rPr>
        <w:t xml:space="preserve"> </w:t>
      </w:r>
    </w:p>
    <w:p w14:paraId="42911DD1" w14:textId="77777777" w:rsidR="00F074FA" w:rsidRDefault="00000000">
      <w:pPr>
        <w:shd w:val="clear" w:color="auto" w:fill="FFFFFF"/>
        <w:spacing w:before="240" w:after="200"/>
        <w:ind w:left="720"/>
        <w:rPr>
          <w:rFonts w:ascii="Merriweather" w:eastAsia="Merriweather" w:hAnsi="Merriweather" w:cs="Merriweather"/>
          <w:sz w:val="20"/>
          <w:szCs w:val="20"/>
        </w:rPr>
      </w:pPr>
      <w:r>
        <w:rPr>
          <w:rFonts w:ascii="Merriweather" w:eastAsia="Merriweather" w:hAnsi="Merriweather" w:cs="Merriweather"/>
          <w:i/>
          <w:sz w:val="20"/>
          <w:szCs w:val="20"/>
        </w:rPr>
        <w:t>For a pressure reduction target above 25%, companies can submit their targets with a target year of up to ten years from the date that the target is submitted.</w:t>
      </w:r>
      <w:r>
        <w:rPr>
          <w:rFonts w:ascii="Merriweather" w:eastAsia="Merriweather" w:hAnsi="Merriweather" w:cs="Merriweather"/>
          <w:sz w:val="20"/>
          <w:szCs w:val="20"/>
        </w:rPr>
        <w:t xml:space="preserve"> </w:t>
      </w:r>
    </w:p>
    <w:p w14:paraId="5431A494" w14:textId="77777777" w:rsidR="00F074FA" w:rsidRDefault="00000000">
      <w:pPr>
        <w:shd w:val="clear" w:color="auto" w:fill="FFFFFF"/>
        <w:spacing w:before="240" w:after="200"/>
        <w:ind w:left="720"/>
        <w:rPr>
          <w:rFonts w:ascii="Merriweather" w:eastAsia="Merriweather" w:hAnsi="Merriweather" w:cs="Merriweather"/>
          <w:sz w:val="20"/>
          <w:szCs w:val="20"/>
        </w:rPr>
      </w:pPr>
      <w:r>
        <w:rPr>
          <w:rFonts w:ascii="Merriweather" w:eastAsia="Merriweather" w:hAnsi="Merriweather" w:cs="Merriweather"/>
          <w:i/>
          <w:sz w:val="20"/>
          <w:szCs w:val="20"/>
        </w:rPr>
        <w:t>These target lengths balance the urgent need for progress on freshwater quantity in line with global goals and provide companies sufficient time to implement actions to reduce their pressures.”</w:t>
      </w:r>
      <w:r>
        <w:rPr>
          <w:rFonts w:ascii="Merriweather" w:eastAsia="Merriweather" w:hAnsi="Merriweather" w:cs="Merriweather"/>
          <w:sz w:val="20"/>
          <w:szCs w:val="20"/>
        </w:rPr>
        <w:t xml:space="preserve"> </w:t>
      </w:r>
    </w:p>
    <w:p w14:paraId="0F83B0D0" w14:textId="77777777" w:rsidR="00F074FA" w:rsidRDefault="00000000">
      <w:pPr>
        <w:numPr>
          <w:ilvl w:val="0"/>
          <w:numId w:val="6"/>
        </w:numPr>
        <w:spacing w:after="200"/>
        <w:ind w:left="1080"/>
      </w:pPr>
      <w:r>
        <w:rPr>
          <w:rFonts w:ascii="Merriweather" w:eastAsia="Merriweather" w:hAnsi="Merriweather" w:cs="Merriweather"/>
          <w:b/>
          <w:sz w:val="20"/>
          <w:szCs w:val="20"/>
        </w:rPr>
        <w:t>State of Nature Layers (Step 1b Pressure-sensitive SoN Indicators):</w:t>
      </w:r>
      <w:r>
        <w:rPr>
          <w:rFonts w:ascii="Merriweather" w:eastAsia="Merriweather" w:hAnsi="Merriweather" w:cs="Merriweather"/>
          <w:sz w:val="20"/>
          <w:szCs w:val="20"/>
        </w:rPr>
        <w:t xml:space="preserve"> In addition to introducing a groundwater-centric dataset,</w:t>
      </w:r>
      <w:hyperlink r:id="rId14">
        <w:r>
          <w:rPr>
            <w:rFonts w:ascii="Merriweather" w:eastAsia="Merriweather" w:hAnsi="Merriweather" w:cs="Merriweather"/>
            <w:sz w:val="20"/>
            <w:szCs w:val="20"/>
          </w:rPr>
          <w:t xml:space="preserve"> </w:t>
        </w:r>
      </w:hyperlink>
      <w:hyperlink r:id="rId15">
        <w:r>
          <w:rPr>
            <w:rFonts w:ascii="Merriweather" w:eastAsia="Merriweather" w:hAnsi="Merriweather" w:cs="Merriweather"/>
            <w:color w:val="467886"/>
            <w:sz w:val="20"/>
            <w:szCs w:val="20"/>
            <w:u w:val="single"/>
          </w:rPr>
          <w:t>Gerdener’s (2023) global land water storage (GLWS 2.0)</w:t>
        </w:r>
      </w:hyperlink>
      <w:r>
        <w:rPr>
          <w:rFonts w:ascii="Merriweather" w:eastAsia="Merriweather" w:hAnsi="Merriweather" w:cs="Merriweather"/>
          <w:sz w:val="20"/>
          <w:szCs w:val="20"/>
        </w:rPr>
        <w:t>, which presents the change in groundwater levels using GRACE/FO and is a</w:t>
      </w:r>
      <w:hyperlink r:id="rId16">
        <w:r>
          <w:rPr>
            <w:rFonts w:ascii="Merriweather" w:eastAsia="Merriweather" w:hAnsi="Merriweather" w:cs="Merriweather"/>
            <w:sz w:val="20"/>
            <w:szCs w:val="20"/>
          </w:rPr>
          <w:t xml:space="preserve"> </w:t>
        </w:r>
      </w:hyperlink>
      <w:hyperlink r:id="rId17">
        <w:r>
          <w:rPr>
            <w:rFonts w:ascii="Merriweather" w:eastAsia="Merriweather" w:hAnsi="Merriweather" w:cs="Merriweather"/>
            <w:color w:val="467886"/>
            <w:sz w:val="20"/>
            <w:szCs w:val="20"/>
            <w:u w:val="single"/>
          </w:rPr>
          <w:t>WWF Water Risk Filter indicator</w:t>
        </w:r>
      </w:hyperlink>
      <w:r>
        <w:rPr>
          <w:rFonts w:ascii="Merriweather" w:eastAsia="Merriweather" w:hAnsi="Merriweather" w:cs="Merriweather"/>
          <w:sz w:val="20"/>
          <w:szCs w:val="20"/>
        </w:rPr>
        <w:t xml:space="preserve">, are there any other water availability datasets that should be considered? Current datasets are listed below. </w:t>
      </w:r>
    </w:p>
    <w:p w14:paraId="4A22D662" w14:textId="77777777" w:rsidR="00F074FA" w:rsidRDefault="00000000">
      <w:pPr>
        <w:numPr>
          <w:ilvl w:val="0"/>
          <w:numId w:val="13"/>
        </w:numPr>
        <w:spacing w:after="200"/>
        <w:ind w:left="1800"/>
        <w:rPr>
          <w:rFonts w:ascii="Merriweather" w:eastAsia="Merriweather" w:hAnsi="Merriweather" w:cs="Merriweather"/>
          <w:sz w:val="20"/>
          <w:szCs w:val="20"/>
        </w:rPr>
      </w:pPr>
      <w:r>
        <w:rPr>
          <w:rFonts w:ascii="Merriweather" w:eastAsia="Merriweather" w:hAnsi="Merriweather" w:cs="Merriweather"/>
          <w:sz w:val="20"/>
          <w:szCs w:val="20"/>
        </w:rPr>
        <w:t xml:space="preserve">Baseline water stress: Aqueduct v4.0 (Kuzma et al. 2023) </w:t>
      </w:r>
    </w:p>
    <w:p w14:paraId="358737A2" w14:textId="77777777" w:rsidR="00F074FA" w:rsidRDefault="00000000">
      <w:pPr>
        <w:numPr>
          <w:ilvl w:val="0"/>
          <w:numId w:val="4"/>
        </w:numPr>
        <w:spacing w:after="200"/>
        <w:ind w:left="1800"/>
        <w:rPr>
          <w:rFonts w:ascii="Merriweather" w:eastAsia="Merriweather" w:hAnsi="Merriweather" w:cs="Merriweather"/>
          <w:sz w:val="20"/>
          <w:szCs w:val="20"/>
        </w:rPr>
      </w:pPr>
      <w:r>
        <w:rPr>
          <w:rFonts w:ascii="Merriweather" w:eastAsia="Merriweather" w:hAnsi="Merriweather" w:cs="Merriweather"/>
          <w:sz w:val="20"/>
          <w:szCs w:val="20"/>
        </w:rPr>
        <w:t xml:space="preserve">Water depletion (Brauman et al. 2016) </w:t>
      </w:r>
    </w:p>
    <w:p w14:paraId="1F6E0703" w14:textId="77777777" w:rsidR="00F074FA" w:rsidRDefault="00000000">
      <w:pPr>
        <w:numPr>
          <w:ilvl w:val="0"/>
          <w:numId w:val="18"/>
        </w:numPr>
        <w:spacing w:after="200"/>
        <w:ind w:left="1800"/>
        <w:rPr>
          <w:rFonts w:ascii="Merriweather" w:eastAsia="Merriweather" w:hAnsi="Merriweather" w:cs="Merriweather"/>
          <w:sz w:val="20"/>
          <w:szCs w:val="20"/>
        </w:rPr>
      </w:pPr>
      <w:r>
        <w:rPr>
          <w:rFonts w:ascii="Merriweather" w:eastAsia="Merriweather" w:hAnsi="Merriweather" w:cs="Merriweather"/>
          <w:sz w:val="20"/>
          <w:szCs w:val="20"/>
        </w:rPr>
        <w:t xml:space="preserve">Freshwater Quantity Targets (Hogeboom et al. 2024). *Update in development </w:t>
      </w:r>
    </w:p>
    <w:p w14:paraId="5B0FCAAA" w14:textId="77777777" w:rsidR="00F074FA" w:rsidRDefault="00000000">
      <w:pPr>
        <w:numPr>
          <w:ilvl w:val="0"/>
          <w:numId w:val="14"/>
        </w:numPr>
        <w:spacing w:after="200"/>
        <w:ind w:left="1080"/>
      </w:pPr>
      <w:r>
        <w:rPr>
          <w:rFonts w:ascii="Merriweather" w:eastAsia="Merriweather" w:hAnsi="Merriweather" w:cs="Merriweather"/>
          <w:b/>
          <w:sz w:val="20"/>
          <w:szCs w:val="20"/>
        </w:rPr>
        <w:t>State of Nature Layers (Step 1b Biodiversity SoN Indicators):</w:t>
      </w:r>
      <w:r>
        <w:rPr>
          <w:rFonts w:ascii="Merriweather" w:eastAsia="Merriweather" w:hAnsi="Merriweather" w:cs="Merriweather"/>
          <w:sz w:val="20"/>
          <w:szCs w:val="20"/>
        </w:rPr>
        <w:t xml:space="preserve"> We are exploring integrating coastal aquifers at risk of saltwater intrusion as a Biodiversity State of Nature indicator (SoNB) in SBTN Step 1b because we may not be able to effectively establish a target. Would </w:t>
      </w:r>
      <w:r>
        <w:rPr>
          <w:rFonts w:ascii="Merriweather" w:eastAsia="Merriweather" w:hAnsi="Merriweather" w:cs="Merriweather"/>
          <w:i/>
          <w:sz w:val="20"/>
          <w:szCs w:val="20"/>
        </w:rPr>
        <w:t>groundwater levels exceeding sea levels</w:t>
      </w:r>
      <w:r>
        <w:rPr>
          <w:rFonts w:ascii="Merriweather" w:eastAsia="Merriweather" w:hAnsi="Merriweather" w:cs="Merriweather"/>
          <w:sz w:val="20"/>
          <w:szCs w:val="20"/>
        </w:rPr>
        <w:t xml:space="preserve"> be a reasonable proxy? </w:t>
      </w:r>
    </w:p>
    <w:p w14:paraId="07DECE07" w14:textId="77777777" w:rsidR="00F074FA" w:rsidRDefault="00000000">
      <w:pPr>
        <w:pStyle w:val="Heading2"/>
        <w:rPr>
          <w:rFonts w:ascii="Merriweather" w:eastAsia="Merriweather" w:hAnsi="Merriweather" w:cs="Merriweather"/>
          <w:sz w:val="30"/>
          <w:szCs w:val="30"/>
        </w:rPr>
      </w:pPr>
      <w:bookmarkStart w:id="6" w:name="_dm292ojbcona" w:colFirst="0" w:colLast="0"/>
      <w:bookmarkEnd w:id="6"/>
      <w:r>
        <w:rPr>
          <w:rFonts w:ascii="Merriweather" w:eastAsia="Merriweather" w:hAnsi="Merriweather" w:cs="Merriweather"/>
          <w:sz w:val="30"/>
          <w:szCs w:val="30"/>
        </w:rPr>
        <w:lastRenderedPageBreak/>
        <w:t>Section 5: Basin Threshold Tool Version 0.1</w:t>
      </w:r>
    </w:p>
    <w:p w14:paraId="09929619" w14:textId="77777777" w:rsidR="00F074FA" w:rsidRDefault="00000000">
      <w:pPr>
        <w:numPr>
          <w:ilvl w:val="0"/>
          <w:numId w:val="8"/>
        </w:numPr>
        <w:spacing w:after="200"/>
        <w:ind w:left="1080"/>
        <w:rPr>
          <w:sz w:val="20"/>
          <w:szCs w:val="20"/>
        </w:rPr>
      </w:pPr>
      <w:r>
        <w:rPr>
          <w:rFonts w:ascii="Merriweather" w:eastAsia="Merriweather" w:hAnsi="Merriweather" w:cs="Merriweather"/>
          <w:b/>
          <w:sz w:val="20"/>
          <w:szCs w:val="20"/>
        </w:rPr>
        <w:t>Basin Threshold Tool Framework:</w:t>
      </w:r>
      <w:r>
        <w:rPr>
          <w:rFonts w:ascii="Merriweather" w:eastAsia="Merriweather" w:hAnsi="Merriweather" w:cs="Merriweather"/>
          <w:sz w:val="20"/>
          <w:szCs w:val="20"/>
        </w:rPr>
        <w:t xml:space="preserve"> The proposed framework for the Basin Threshold Tool uses three decision trees to determine the correct path based on results from Steps 1 and 2, the priority local path, the non-priority local path, and the global path. Are there other considerations that you firmly believe we should consider? If so, please explain why. </w:t>
      </w:r>
    </w:p>
    <w:p w14:paraId="5794EF5C" w14:textId="77777777" w:rsidR="00F074FA" w:rsidRDefault="00000000">
      <w:pPr>
        <w:numPr>
          <w:ilvl w:val="0"/>
          <w:numId w:val="8"/>
        </w:numPr>
        <w:spacing w:after="200"/>
        <w:ind w:left="1080"/>
        <w:rPr>
          <w:sz w:val="20"/>
          <w:szCs w:val="20"/>
        </w:rPr>
      </w:pPr>
      <w:r>
        <w:rPr>
          <w:rFonts w:ascii="Merriweather" w:eastAsia="Merriweather" w:hAnsi="Merriweather" w:cs="Merriweather"/>
          <w:b/>
          <w:sz w:val="20"/>
          <w:szCs w:val="20"/>
        </w:rPr>
        <w:t xml:space="preserve">Data, methods, models: </w:t>
      </w:r>
      <w:r>
        <w:rPr>
          <w:rFonts w:ascii="Merriweather" w:eastAsia="Merriweather" w:hAnsi="Merriweather" w:cs="Merriweather"/>
          <w:sz w:val="20"/>
          <w:szCs w:val="20"/>
        </w:rPr>
        <w:t xml:space="preserve">Are there other datasets, methods, models or other information not referenced in the framework report that you would recommend for addition to the Basin Threshold Tool, noting that currently the Basin Threshold Tool consists primarily of surface water flows? </w:t>
      </w:r>
    </w:p>
    <w:p w14:paraId="07AF71B2" w14:textId="77777777" w:rsidR="00F074FA" w:rsidRDefault="00000000">
      <w:pPr>
        <w:numPr>
          <w:ilvl w:val="0"/>
          <w:numId w:val="8"/>
        </w:numPr>
        <w:spacing w:after="200"/>
        <w:ind w:left="1080"/>
        <w:rPr>
          <w:sz w:val="20"/>
          <w:szCs w:val="20"/>
        </w:rPr>
      </w:pPr>
      <w:r>
        <w:rPr>
          <w:rFonts w:ascii="Merriweather" w:eastAsia="Merriweather" w:hAnsi="Merriweather" w:cs="Merriweather"/>
          <w:b/>
          <w:sz w:val="20"/>
          <w:szCs w:val="20"/>
        </w:rPr>
        <w:t>Practicality of the Basin Threshold Tool:</w:t>
      </w:r>
      <w:r>
        <w:rPr>
          <w:rFonts w:ascii="Merriweather" w:eastAsia="Merriweather" w:hAnsi="Merriweather" w:cs="Merriweather"/>
          <w:sz w:val="20"/>
          <w:szCs w:val="20"/>
        </w:rPr>
        <w:t xml:space="preserve"> Is the Basin Threshold Tool as presented here in its current version practical for use? How can this tool be made more practical, to account for complexities in a company’s supply chain most effectively? </w:t>
      </w:r>
    </w:p>
    <w:p w14:paraId="70A961E6" w14:textId="77777777" w:rsidR="00F074FA" w:rsidRDefault="00000000">
      <w:pPr>
        <w:numPr>
          <w:ilvl w:val="0"/>
          <w:numId w:val="8"/>
        </w:numPr>
        <w:spacing w:after="200"/>
        <w:ind w:left="1080"/>
        <w:rPr>
          <w:sz w:val="20"/>
          <w:szCs w:val="20"/>
        </w:rPr>
      </w:pPr>
      <w:r>
        <w:rPr>
          <w:rFonts w:ascii="Merriweather" w:eastAsia="Merriweather" w:hAnsi="Merriweather" w:cs="Merriweather"/>
          <w:b/>
          <w:sz w:val="20"/>
          <w:szCs w:val="20"/>
        </w:rPr>
        <w:t>Interface:</w:t>
      </w:r>
      <w:r>
        <w:rPr>
          <w:rFonts w:ascii="Merriweather" w:eastAsia="Merriweather" w:hAnsi="Merriweather" w:cs="Merriweather"/>
          <w:sz w:val="20"/>
          <w:szCs w:val="20"/>
        </w:rPr>
        <w:t xml:space="preserve"> In Version 0.1, the Basin Threshold Tool is an excel-based relational database. For future versions, how would you like to see this information presented? For example, would you like to see this tool be stand-alone, part of other SBTN products (e.g., WWF Risk Filter Suite, WRI Aqueduct, etc.), or continue as an excel-based database? How would you like to interact with the data that provides the most value to you?</w:t>
      </w:r>
    </w:p>
    <w:p w14:paraId="2D1DA326" w14:textId="77777777" w:rsidR="00F074FA" w:rsidRDefault="00000000">
      <w:pPr>
        <w:numPr>
          <w:ilvl w:val="0"/>
          <w:numId w:val="8"/>
        </w:numPr>
        <w:spacing w:after="200"/>
        <w:ind w:left="1080"/>
        <w:rPr>
          <w:sz w:val="20"/>
          <w:szCs w:val="20"/>
        </w:rPr>
      </w:pPr>
      <w:r>
        <w:rPr>
          <w:rFonts w:ascii="Merriweather" w:eastAsia="Merriweather" w:hAnsi="Merriweather" w:cs="Merriweather"/>
          <w:b/>
          <w:sz w:val="20"/>
          <w:szCs w:val="20"/>
        </w:rPr>
        <w:t>Other:</w:t>
      </w:r>
      <w:r>
        <w:rPr>
          <w:rFonts w:ascii="Merriweather" w:eastAsia="Merriweather" w:hAnsi="Merriweather" w:cs="Merriweather"/>
          <w:sz w:val="20"/>
          <w:szCs w:val="20"/>
        </w:rPr>
        <w:t xml:space="preserve"> What other questions or concerns do you have about the framework of the Basin Threshold Tool, what information may be missing today, or do you have any other comments or questions about the Basin Threshold Tool?</w:t>
      </w:r>
    </w:p>
    <w:p w14:paraId="6508C68A" w14:textId="77777777" w:rsidR="00F074FA" w:rsidRDefault="00000000">
      <w:pPr>
        <w:pStyle w:val="Heading2"/>
        <w:rPr>
          <w:rFonts w:ascii="Merriweather" w:eastAsia="Merriweather" w:hAnsi="Merriweather" w:cs="Merriweather"/>
          <w:sz w:val="30"/>
          <w:szCs w:val="30"/>
        </w:rPr>
      </w:pPr>
      <w:bookmarkStart w:id="7" w:name="_pzqo8mb65xtk" w:colFirst="0" w:colLast="0"/>
      <w:bookmarkEnd w:id="7"/>
      <w:r>
        <w:rPr>
          <w:rFonts w:ascii="Merriweather" w:eastAsia="Merriweather" w:hAnsi="Merriweather" w:cs="Merriweather"/>
          <w:sz w:val="30"/>
          <w:szCs w:val="30"/>
        </w:rPr>
        <w:t>Section 6: Additional feedback or comments</w:t>
      </w:r>
    </w:p>
    <w:p w14:paraId="1CB57EE4" w14:textId="77777777" w:rsidR="00F074FA" w:rsidRDefault="00000000">
      <w:pPr>
        <w:numPr>
          <w:ilvl w:val="0"/>
          <w:numId w:val="10"/>
        </w:numPr>
        <w:rPr>
          <w:rFonts w:ascii="Merriweather" w:eastAsia="Merriweather" w:hAnsi="Merriweather" w:cs="Merriweather"/>
          <w:sz w:val="20"/>
          <w:szCs w:val="20"/>
        </w:rPr>
      </w:pPr>
      <w:r>
        <w:rPr>
          <w:rFonts w:ascii="Merriweather" w:eastAsia="Merriweather" w:hAnsi="Merriweather" w:cs="Merriweather"/>
          <w:color w:val="202124"/>
          <w:shd w:val="clear" w:color="auto" w:fill="F8F9FA"/>
        </w:rPr>
        <w:t>Please share any other feedback or comments about the Freshwater V2 Public Consultation with the SBTN team here:</w:t>
      </w:r>
    </w:p>
    <w:p w14:paraId="79D1B3BC" w14:textId="77777777" w:rsidR="00F074FA" w:rsidRDefault="00F074FA">
      <w:pPr>
        <w:rPr>
          <w:rFonts w:ascii="Merriweather" w:eastAsia="Merriweather" w:hAnsi="Merriweather" w:cs="Merriweather"/>
          <w:sz w:val="20"/>
          <w:szCs w:val="20"/>
        </w:rPr>
      </w:pPr>
    </w:p>
    <w:p w14:paraId="7CE93B5D" w14:textId="77777777" w:rsidR="00F074FA" w:rsidRDefault="00F074FA">
      <w:pPr>
        <w:rPr>
          <w:rFonts w:ascii="Merriweather" w:eastAsia="Merriweather" w:hAnsi="Merriweather" w:cs="Merriweather"/>
          <w:sz w:val="20"/>
          <w:szCs w:val="20"/>
        </w:rPr>
      </w:pPr>
    </w:p>
    <w:sectPr w:rsidR="00F074FA">
      <w:headerReference w:type="default" r:id="rId18"/>
      <w:headerReference w:type="first" r:id="rId19"/>
      <w:footerReference w:type="firs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BEEB6" w14:textId="77777777" w:rsidR="008D78BC" w:rsidRDefault="008D78BC">
      <w:pPr>
        <w:spacing w:line="240" w:lineRule="auto"/>
      </w:pPr>
      <w:r>
        <w:separator/>
      </w:r>
    </w:p>
  </w:endnote>
  <w:endnote w:type="continuationSeparator" w:id="0">
    <w:p w14:paraId="6E418FE2" w14:textId="77777777" w:rsidR="008D78BC" w:rsidRDefault="008D78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94DC55D2-04F5-4920-9733-F9BA7824BAC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2" w:fontKey="{0839DEB3-AFFC-440D-9DB9-9EB98B7AB591}"/>
    <w:embedBold r:id="rId3" w:fontKey="{E38E5DDA-557F-403F-9E4B-012B7A19F001}"/>
    <w:embedItalic r:id="rId4" w:fontKey="{322D6604-86B4-414E-B10E-4EF68F77770D}"/>
  </w:font>
  <w:font w:name="Calibri">
    <w:panose1 w:val="020F0502020204030204"/>
    <w:charset w:val="00"/>
    <w:family w:val="swiss"/>
    <w:pitch w:val="variable"/>
    <w:sig w:usb0="E4002EFF" w:usb1="C200247B" w:usb2="00000009" w:usb3="00000000" w:csb0="000001FF" w:csb1="00000000"/>
    <w:embedRegular r:id="rId5" w:fontKey="{F7DB8BD5-C11D-42B3-BA8C-7790455B2C9A}"/>
  </w:font>
  <w:font w:name="Cambria">
    <w:panose1 w:val="02040503050406030204"/>
    <w:charset w:val="00"/>
    <w:family w:val="roman"/>
    <w:pitch w:val="variable"/>
    <w:sig w:usb0="E00006FF" w:usb1="420024FF" w:usb2="02000000" w:usb3="00000000" w:csb0="0000019F" w:csb1="00000000"/>
    <w:embedRegular r:id="rId6" w:fontKey="{C6A98681-DE93-40A9-8FFA-93C3753263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83365" w14:textId="77777777" w:rsidR="00F074FA" w:rsidRDefault="00F074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29221" w14:textId="77777777" w:rsidR="008D78BC" w:rsidRDefault="008D78BC">
      <w:pPr>
        <w:spacing w:line="240" w:lineRule="auto"/>
      </w:pPr>
      <w:r>
        <w:separator/>
      </w:r>
    </w:p>
  </w:footnote>
  <w:footnote w:type="continuationSeparator" w:id="0">
    <w:p w14:paraId="1DB7B11C" w14:textId="77777777" w:rsidR="008D78BC" w:rsidRDefault="008D78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4A1FC" w14:textId="77777777" w:rsidR="00F074FA" w:rsidRDefault="00F074FA">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B41FC" w14:textId="77777777" w:rsidR="00F074FA" w:rsidRDefault="00000000">
    <w:pPr>
      <w:jc w:val="center"/>
    </w:pPr>
    <w:r>
      <w:rPr>
        <w:noProof/>
      </w:rPr>
      <w:drawing>
        <wp:inline distT="114300" distB="114300" distL="114300" distR="114300" wp14:anchorId="3AF58E8F" wp14:editId="796AE3B4">
          <wp:extent cx="3330413" cy="64459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330413" cy="644596"/>
                  </a:xfrm>
                  <a:prstGeom prst="rect">
                    <a:avLst/>
                  </a:prstGeom>
                  <a:ln/>
                </pic:spPr>
              </pic:pic>
            </a:graphicData>
          </a:graphic>
        </wp:inline>
      </w:drawing>
    </w:r>
  </w:p>
  <w:p w14:paraId="6D0F4DB7" w14:textId="77777777" w:rsidR="00F074FA" w:rsidRDefault="00F074FA">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2644"/>
    <w:multiLevelType w:val="multilevel"/>
    <w:tmpl w:val="7F52E036"/>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3336F0"/>
    <w:multiLevelType w:val="multilevel"/>
    <w:tmpl w:val="8F3469F4"/>
    <w:lvl w:ilvl="0">
      <w:start w:val="2"/>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C80308C"/>
    <w:multiLevelType w:val="multilevel"/>
    <w:tmpl w:val="55AAF2A6"/>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E5807EA"/>
    <w:multiLevelType w:val="multilevel"/>
    <w:tmpl w:val="B18CD328"/>
    <w:lvl w:ilvl="0">
      <w:start w:val="9"/>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53D7AC1"/>
    <w:multiLevelType w:val="multilevel"/>
    <w:tmpl w:val="27F084B4"/>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7D1A15"/>
    <w:multiLevelType w:val="multilevel"/>
    <w:tmpl w:val="B1ACB8A2"/>
    <w:lvl w:ilvl="0">
      <w:start w:val="8"/>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8656C6A"/>
    <w:multiLevelType w:val="multilevel"/>
    <w:tmpl w:val="CA964F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C197E65"/>
    <w:multiLevelType w:val="multilevel"/>
    <w:tmpl w:val="5C1297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7A02720"/>
    <w:multiLevelType w:val="multilevel"/>
    <w:tmpl w:val="4AAE78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02644E4"/>
    <w:multiLevelType w:val="multilevel"/>
    <w:tmpl w:val="49EAF424"/>
    <w:lvl w:ilvl="0">
      <w:start w:val="4"/>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416E58A3"/>
    <w:multiLevelType w:val="multilevel"/>
    <w:tmpl w:val="5E6A73D4"/>
    <w:lvl w:ilvl="0">
      <w:start w:val="3"/>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41C138A3"/>
    <w:multiLevelType w:val="multilevel"/>
    <w:tmpl w:val="1B5A8BA4"/>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0104736"/>
    <w:multiLevelType w:val="multilevel"/>
    <w:tmpl w:val="31F2891A"/>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1E63DA0"/>
    <w:multiLevelType w:val="multilevel"/>
    <w:tmpl w:val="BBBCC904"/>
    <w:lvl w:ilvl="0">
      <w:start w:val="1"/>
      <w:numFmt w:val="decimal"/>
      <w:lvlText w:val="%1."/>
      <w:lvlJc w:val="left"/>
      <w:pPr>
        <w:ind w:left="99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587D0664"/>
    <w:multiLevelType w:val="multilevel"/>
    <w:tmpl w:val="92180A72"/>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0BD5298"/>
    <w:multiLevelType w:val="multilevel"/>
    <w:tmpl w:val="98B25F72"/>
    <w:lvl w:ilvl="0">
      <w:start w:val="5"/>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70D8673D"/>
    <w:multiLevelType w:val="multilevel"/>
    <w:tmpl w:val="97CAA2F6"/>
    <w:lvl w:ilvl="0">
      <w:start w:val="6"/>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70E840E0"/>
    <w:multiLevelType w:val="multilevel"/>
    <w:tmpl w:val="2B802688"/>
    <w:lvl w:ilvl="0">
      <w:start w:val="10"/>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72A62CD2"/>
    <w:multiLevelType w:val="multilevel"/>
    <w:tmpl w:val="4588E458"/>
    <w:lvl w:ilvl="0">
      <w:start w:val="7"/>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74D016DA"/>
    <w:multiLevelType w:val="multilevel"/>
    <w:tmpl w:val="D5AA5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C301EA8"/>
    <w:multiLevelType w:val="multilevel"/>
    <w:tmpl w:val="B5AE80E0"/>
    <w:lvl w:ilvl="0">
      <w:start w:val="1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961113076">
    <w:abstractNumId w:val="3"/>
  </w:num>
  <w:num w:numId="2" w16cid:durableId="827087843">
    <w:abstractNumId w:val="2"/>
  </w:num>
  <w:num w:numId="3" w16cid:durableId="1985113754">
    <w:abstractNumId w:val="9"/>
  </w:num>
  <w:num w:numId="4" w16cid:durableId="1856839999">
    <w:abstractNumId w:val="12"/>
  </w:num>
  <w:num w:numId="5" w16cid:durableId="846362005">
    <w:abstractNumId w:val="8"/>
  </w:num>
  <w:num w:numId="6" w16cid:durableId="2119793453">
    <w:abstractNumId w:val="17"/>
  </w:num>
  <w:num w:numId="7" w16cid:durableId="1773546230">
    <w:abstractNumId w:val="18"/>
  </w:num>
  <w:num w:numId="8" w16cid:durableId="1754663075">
    <w:abstractNumId w:val="13"/>
  </w:num>
  <w:num w:numId="9" w16cid:durableId="2138792728">
    <w:abstractNumId w:val="15"/>
  </w:num>
  <w:num w:numId="10" w16cid:durableId="1556356591">
    <w:abstractNumId w:val="19"/>
  </w:num>
  <w:num w:numId="11" w16cid:durableId="1417550636">
    <w:abstractNumId w:val="6"/>
  </w:num>
  <w:num w:numId="12" w16cid:durableId="1977292601">
    <w:abstractNumId w:val="11"/>
  </w:num>
  <w:num w:numId="13" w16cid:durableId="1384983959">
    <w:abstractNumId w:val="4"/>
  </w:num>
  <w:num w:numId="14" w16cid:durableId="116528482">
    <w:abstractNumId w:val="20"/>
  </w:num>
  <w:num w:numId="15" w16cid:durableId="1479028339">
    <w:abstractNumId w:val="16"/>
  </w:num>
  <w:num w:numId="16" w16cid:durableId="2106728656">
    <w:abstractNumId w:val="0"/>
  </w:num>
  <w:num w:numId="17" w16cid:durableId="1868133223">
    <w:abstractNumId w:val="7"/>
  </w:num>
  <w:num w:numId="18" w16cid:durableId="148249081">
    <w:abstractNumId w:val="14"/>
  </w:num>
  <w:num w:numId="19" w16cid:durableId="1368988723">
    <w:abstractNumId w:val="1"/>
  </w:num>
  <w:num w:numId="20" w16cid:durableId="1846746867">
    <w:abstractNumId w:val="5"/>
  </w:num>
  <w:num w:numId="21" w16cid:durableId="745935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4FA"/>
    <w:rsid w:val="00750BCE"/>
    <w:rsid w:val="008D78BC"/>
    <w:rsid w:val="00E95A72"/>
    <w:rsid w:val="00F074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EB7FEB"/>
  <w15:docId w15:val="{C61E61D1-959F-4595-AF0F-D3CAF8344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ciencebasedtargetsnetwork.org/privacy-policy/" TargetMode="External"/><Relationship Id="rId13" Type="http://schemas.openxmlformats.org/officeDocument/2006/relationships/hyperlink" Target="https://sciencebasedtargetsnetwork.org/wp-content/uploads/2025/08/Groundwater-Explainer-Slides-Freshwater-V2-Public-Consultation.pptx"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sciencebasedtargetsnetwork.org/companies/take-action/set-targets/freshwater-targets/freshwater-v2-public-consultation/" TargetMode="External"/><Relationship Id="rId12" Type="http://schemas.openxmlformats.org/officeDocument/2006/relationships/hyperlink" Target="https://sciencebasedtargetsnetwork.org/wp-content/uploads/2025/08/Groundwater-Explainer-Slides-Freshwater-V2-Public-Consultation.pptx" TargetMode="External"/><Relationship Id="rId17" Type="http://schemas.openxmlformats.org/officeDocument/2006/relationships/hyperlink" Target="https://panda.maps.arcgis.com/sharing/rest/content/items/15ce81338b904864b7c5a51cf45a2ebf/data" TargetMode="External"/><Relationship Id="rId2" Type="http://schemas.openxmlformats.org/officeDocument/2006/relationships/styles" Target="styles.xml"/><Relationship Id="rId16" Type="http://schemas.openxmlformats.org/officeDocument/2006/relationships/hyperlink" Target="https://panda.maps.arcgis.com/sharing/rest/content/items/15ce81338b904864b7c5a51cf45a2ebf/data"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ture.com/articles/s41558-019-0591-9" TargetMode="External"/><Relationship Id="rId5" Type="http://schemas.openxmlformats.org/officeDocument/2006/relationships/footnotes" Target="footnotes.xml"/><Relationship Id="rId15" Type="http://schemas.openxmlformats.org/officeDocument/2006/relationships/hyperlink" Target="https://doi.pangaea.de/10.1594/PANGAEA.954742" TargetMode="External"/><Relationship Id="rId10" Type="http://schemas.openxmlformats.org/officeDocument/2006/relationships/hyperlink" Target="https://www.acc.waterfootprintassessmenttool.org/?b=sbtn"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sciencebasedtargetsnetwork.org/contact/" TargetMode="External"/><Relationship Id="rId14" Type="http://schemas.openxmlformats.org/officeDocument/2006/relationships/hyperlink" Target="https://doi.pangaea.de/10.1594/PANGAEA.954742"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2571</Words>
  <Characters>14475</Characters>
  <Application>Microsoft Office Word</Application>
  <DocSecurity>0</DocSecurity>
  <Lines>268</Lines>
  <Paragraphs>128</Paragraphs>
  <ScaleCrop>false</ScaleCrop>
  <Company/>
  <LinksUpToDate>false</LinksUpToDate>
  <CharactersWithSpaces>16918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Abby Litchfield</cp:lastModifiedBy>
  <cp:revision>2</cp:revision>
  <dcterms:created xsi:type="dcterms:W3CDTF">2025-08-27T22:39:00Z</dcterms:created>
  <dcterms:modified xsi:type="dcterms:W3CDTF">2025-08-27T22:39:00Z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daa41a0c-16f4-4fa9-90a9-3da9529e1484</vt:lpwstr>
  </property>
</Properties>
</file>